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87D09" w14:textId="77777777" w:rsidR="00ED1F12" w:rsidRDefault="00ED1F12" w:rsidP="00ED1F12">
      <w:pPr>
        <w:pStyle w:val="ListParagraph"/>
        <w:ind w:left="0"/>
        <w:rPr>
          <w:rFonts w:asciiTheme="minorHAnsi" w:hAnsiTheme="minorHAnsi"/>
          <w:sz w:val="22"/>
          <w:szCs w:val="22"/>
        </w:rPr>
      </w:pPr>
      <w:bookmarkStart w:id="0" w:name="_Hlk510446419"/>
      <w:bookmarkStart w:id="1" w:name="_Hlk510432808"/>
    </w:p>
    <w:p w14:paraId="35FD181C" w14:textId="23467541" w:rsidR="00ED1F12" w:rsidRDefault="00ED1F12" w:rsidP="00E94772">
      <w:pPr>
        <w:pStyle w:val="ListParagraph"/>
        <w:ind w:left="0"/>
        <w:jc w:val="both"/>
        <w:rPr>
          <w:rFonts w:asciiTheme="minorHAnsi" w:hAnsiTheme="minorHAnsi"/>
          <w:color w:val="C00000"/>
          <w:sz w:val="22"/>
          <w:szCs w:val="22"/>
        </w:rPr>
      </w:pPr>
      <w:r w:rsidRPr="00ED1F12">
        <w:rPr>
          <w:rFonts w:asciiTheme="minorHAnsi" w:hAnsiTheme="minorHAnsi"/>
          <w:color w:val="C00000"/>
          <w:sz w:val="22"/>
          <w:szCs w:val="22"/>
        </w:rPr>
        <w:t xml:space="preserve">IMPORTANT NOTE:  The Department is revising this </w:t>
      </w:r>
      <w:r>
        <w:rPr>
          <w:rFonts w:asciiTheme="minorHAnsi" w:hAnsiTheme="minorHAnsi"/>
          <w:color w:val="C00000"/>
          <w:sz w:val="22"/>
          <w:szCs w:val="22"/>
        </w:rPr>
        <w:t>I</w:t>
      </w:r>
      <w:r w:rsidRPr="00ED1F12">
        <w:rPr>
          <w:rFonts w:asciiTheme="minorHAnsi" w:hAnsiTheme="minorHAnsi"/>
          <w:color w:val="C00000"/>
          <w:sz w:val="22"/>
          <w:szCs w:val="22"/>
        </w:rPr>
        <w:t xml:space="preserve">nvitation for </w:t>
      </w:r>
      <w:r>
        <w:rPr>
          <w:rFonts w:asciiTheme="minorHAnsi" w:hAnsiTheme="minorHAnsi"/>
          <w:color w:val="C00000"/>
          <w:sz w:val="22"/>
          <w:szCs w:val="22"/>
        </w:rPr>
        <w:t>B</w:t>
      </w:r>
      <w:r w:rsidRPr="00ED1F12">
        <w:rPr>
          <w:rFonts w:asciiTheme="minorHAnsi" w:hAnsiTheme="minorHAnsi"/>
          <w:color w:val="C00000"/>
          <w:sz w:val="22"/>
          <w:szCs w:val="22"/>
        </w:rPr>
        <w:t xml:space="preserve">id (IFB) to allow </w:t>
      </w:r>
      <w:r w:rsidRPr="00ED1F12">
        <w:rPr>
          <w:rFonts w:asciiTheme="minorHAnsi" w:hAnsiTheme="minorHAnsi"/>
          <w:b/>
          <w:bCs/>
          <w:color w:val="C00000"/>
          <w:sz w:val="22"/>
          <w:szCs w:val="22"/>
        </w:rPr>
        <w:t>equally acceptable and compatible</w:t>
      </w:r>
      <w:r w:rsidRPr="00ED1F12">
        <w:rPr>
          <w:rFonts w:asciiTheme="minorHAnsi" w:hAnsiTheme="minorHAnsi"/>
          <w:color w:val="C00000"/>
          <w:sz w:val="22"/>
          <w:szCs w:val="22"/>
        </w:rPr>
        <w:t xml:space="preserve"> equipment offers.  Equipment must be </w:t>
      </w:r>
      <w:r w:rsidRPr="00ED1F12">
        <w:rPr>
          <w:rFonts w:asciiTheme="minorHAnsi" w:hAnsiTheme="minorHAnsi"/>
          <w:b/>
          <w:bCs/>
          <w:color w:val="C00000"/>
          <w:sz w:val="22"/>
          <w:szCs w:val="22"/>
        </w:rPr>
        <w:t>equally</w:t>
      </w:r>
      <w:r w:rsidRPr="00ED1F12">
        <w:rPr>
          <w:rFonts w:asciiTheme="minorHAnsi" w:hAnsiTheme="minorHAnsi"/>
          <w:color w:val="C00000"/>
          <w:sz w:val="22"/>
          <w:szCs w:val="22"/>
        </w:rPr>
        <w:t xml:space="preserve"> </w:t>
      </w:r>
      <w:r w:rsidRPr="00ED1F12">
        <w:rPr>
          <w:rFonts w:asciiTheme="minorHAnsi" w:hAnsiTheme="minorHAnsi"/>
          <w:b/>
          <w:bCs/>
          <w:color w:val="C00000"/>
          <w:sz w:val="22"/>
          <w:szCs w:val="22"/>
        </w:rPr>
        <w:t xml:space="preserve">acceptable </w:t>
      </w:r>
      <w:r w:rsidRPr="00E94772">
        <w:rPr>
          <w:rFonts w:asciiTheme="minorHAnsi" w:hAnsiTheme="minorHAnsi"/>
          <w:color w:val="C00000"/>
          <w:sz w:val="22"/>
          <w:szCs w:val="22"/>
        </w:rPr>
        <w:t>to</w:t>
      </w:r>
      <w:r w:rsidRPr="00ED1F12">
        <w:rPr>
          <w:rFonts w:asciiTheme="minorHAnsi" w:hAnsiTheme="minorHAnsi"/>
          <w:b/>
          <w:bCs/>
          <w:color w:val="C00000"/>
          <w:sz w:val="22"/>
          <w:szCs w:val="22"/>
        </w:rPr>
        <w:t xml:space="preserve"> and compatible </w:t>
      </w:r>
      <w:r w:rsidRPr="002E77D2">
        <w:rPr>
          <w:rFonts w:asciiTheme="minorHAnsi" w:hAnsiTheme="minorHAnsi"/>
          <w:color w:val="C00000"/>
          <w:sz w:val="22"/>
          <w:szCs w:val="22"/>
        </w:rPr>
        <w:t>with</w:t>
      </w:r>
      <w:r w:rsidRPr="002E77D2">
        <w:rPr>
          <w:rFonts w:asciiTheme="minorHAnsi" w:hAnsiTheme="minorHAnsi"/>
          <w:b/>
          <w:bCs/>
          <w:color w:val="C00000"/>
          <w:sz w:val="22"/>
          <w:szCs w:val="22"/>
        </w:rPr>
        <w:t xml:space="preserve"> the </w:t>
      </w:r>
      <w:r w:rsidR="002E77D2" w:rsidRPr="002E77D2">
        <w:rPr>
          <w:rFonts w:asciiTheme="minorHAnsi" w:hAnsiTheme="minorHAnsi"/>
          <w:b/>
          <w:bCs/>
          <w:color w:val="C00000"/>
          <w:sz w:val="22"/>
          <w:szCs w:val="22"/>
        </w:rPr>
        <w:t xml:space="preserve">intended use of the </w:t>
      </w:r>
      <w:r w:rsidRPr="002E77D2">
        <w:rPr>
          <w:rFonts w:asciiTheme="minorHAnsi" w:hAnsiTheme="minorHAnsi"/>
          <w:b/>
          <w:bCs/>
          <w:color w:val="C00000"/>
          <w:sz w:val="22"/>
          <w:szCs w:val="22"/>
        </w:rPr>
        <w:t>specified</w:t>
      </w:r>
      <w:r w:rsidRPr="00ED1F12">
        <w:rPr>
          <w:rFonts w:asciiTheme="minorHAnsi" w:hAnsiTheme="minorHAnsi"/>
          <w:color w:val="C00000"/>
          <w:sz w:val="22"/>
          <w:szCs w:val="22"/>
        </w:rPr>
        <w:t xml:space="preserve"> Trimble </w:t>
      </w:r>
      <w:r w:rsidR="00E94772">
        <w:rPr>
          <w:rFonts w:asciiTheme="minorHAnsi" w:hAnsiTheme="minorHAnsi"/>
          <w:color w:val="C00000"/>
          <w:sz w:val="22"/>
          <w:szCs w:val="22"/>
        </w:rPr>
        <w:t>Brand GPS E</w:t>
      </w:r>
      <w:r w:rsidRPr="00ED1F12">
        <w:rPr>
          <w:rFonts w:asciiTheme="minorHAnsi" w:hAnsiTheme="minorHAnsi"/>
          <w:color w:val="C00000"/>
          <w:sz w:val="22"/>
          <w:szCs w:val="22"/>
        </w:rPr>
        <w:t>quipment.</w:t>
      </w:r>
      <w:r w:rsidR="00066529">
        <w:rPr>
          <w:rFonts w:asciiTheme="minorHAnsi" w:hAnsiTheme="minorHAnsi"/>
          <w:color w:val="C00000"/>
          <w:sz w:val="22"/>
          <w:szCs w:val="22"/>
        </w:rPr>
        <w:t xml:space="preserve">  </w:t>
      </w:r>
    </w:p>
    <w:p w14:paraId="74F3588B" w14:textId="77777777" w:rsidR="00551019" w:rsidRDefault="00551019" w:rsidP="00551019">
      <w:pPr>
        <w:pStyle w:val="ListParagraph"/>
        <w:autoSpaceDE w:val="0"/>
        <w:autoSpaceDN w:val="0"/>
        <w:ind w:left="360" w:right="720" w:hanging="360"/>
        <w:jc w:val="both"/>
        <w:rPr>
          <w:rFonts w:asciiTheme="minorHAnsi" w:hAnsiTheme="minorHAnsi"/>
          <w:b/>
          <w:color w:val="C00000"/>
          <w:sz w:val="20"/>
          <w:szCs w:val="20"/>
        </w:rPr>
      </w:pPr>
    </w:p>
    <w:p w14:paraId="4ADDD4F0" w14:textId="3B16CE41" w:rsidR="00551019" w:rsidRPr="00551019" w:rsidRDefault="00551019" w:rsidP="00551019">
      <w:pPr>
        <w:pStyle w:val="ListParagraph"/>
        <w:autoSpaceDE w:val="0"/>
        <w:autoSpaceDN w:val="0"/>
        <w:ind w:left="360" w:right="720" w:hanging="360"/>
        <w:jc w:val="both"/>
        <w:rPr>
          <w:rFonts w:asciiTheme="minorHAnsi" w:hAnsiTheme="minorHAnsi"/>
          <w:b/>
          <w:color w:val="C00000"/>
          <w:sz w:val="20"/>
          <w:szCs w:val="20"/>
        </w:rPr>
      </w:pPr>
      <w:r w:rsidRPr="00551019">
        <w:rPr>
          <w:rFonts w:asciiTheme="minorHAnsi" w:hAnsiTheme="minorHAnsi"/>
          <w:b/>
          <w:color w:val="C00000"/>
          <w:sz w:val="20"/>
          <w:szCs w:val="20"/>
        </w:rPr>
        <w:t>The Bid Due Date &amp; Time has been extended as follows:</w:t>
      </w:r>
    </w:p>
    <w:p w14:paraId="3B3EDAB9" w14:textId="77777777" w:rsidR="00551019" w:rsidRPr="00551019" w:rsidRDefault="00551019" w:rsidP="00551019">
      <w:pPr>
        <w:pStyle w:val="ListParagraph"/>
        <w:autoSpaceDE w:val="0"/>
        <w:autoSpaceDN w:val="0"/>
        <w:ind w:left="360" w:right="720" w:hanging="360"/>
        <w:jc w:val="both"/>
        <w:rPr>
          <w:rFonts w:asciiTheme="minorHAnsi" w:hAnsiTheme="minorHAnsi"/>
          <w:b/>
          <w:color w:val="C00000"/>
          <w:sz w:val="20"/>
          <w:szCs w:val="20"/>
        </w:rPr>
      </w:pPr>
    </w:p>
    <w:p w14:paraId="7559B562" w14:textId="77777777" w:rsidR="00551019" w:rsidRPr="00551019" w:rsidRDefault="00551019" w:rsidP="00551019">
      <w:pPr>
        <w:pStyle w:val="ListParagraph"/>
        <w:autoSpaceDE w:val="0"/>
        <w:autoSpaceDN w:val="0"/>
        <w:ind w:right="720" w:hanging="360"/>
        <w:jc w:val="both"/>
        <w:rPr>
          <w:rFonts w:asciiTheme="minorHAnsi" w:hAnsiTheme="minorHAnsi"/>
          <w:b/>
          <w:color w:val="C00000"/>
          <w:sz w:val="22"/>
          <w:szCs w:val="22"/>
        </w:rPr>
      </w:pPr>
      <w:r w:rsidRPr="00551019">
        <w:rPr>
          <w:rFonts w:asciiTheme="minorHAnsi" w:hAnsiTheme="minorHAnsi"/>
          <w:bCs/>
          <w:color w:val="C00000"/>
          <w:sz w:val="22"/>
          <w:szCs w:val="22"/>
        </w:rPr>
        <w:t>Date:</w:t>
      </w:r>
      <w:r w:rsidRPr="00551019">
        <w:rPr>
          <w:rFonts w:asciiTheme="minorHAnsi" w:hAnsiTheme="minorHAnsi"/>
          <w:b/>
          <w:color w:val="C00000"/>
          <w:sz w:val="22"/>
          <w:szCs w:val="22"/>
        </w:rPr>
        <w:t xml:space="preserve">  March 2, 2020</w:t>
      </w:r>
    </w:p>
    <w:p w14:paraId="0D906A10" w14:textId="784EC9EE" w:rsidR="00551019" w:rsidRPr="00551019" w:rsidRDefault="00551019" w:rsidP="00551019">
      <w:pPr>
        <w:pStyle w:val="ListParagraph"/>
        <w:autoSpaceDE w:val="0"/>
        <w:autoSpaceDN w:val="0"/>
        <w:ind w:right="720" w:hanging="360"/>
        <w:jc w:val="both"/>
        <w:rPr>
          <w:rFonts w:asciiTheme="minorHAnsi" w:hAnsiTheme="minorHAnsi"/>
          <w:b/>
          <w:color w:val="C00000"/>
          <w:sz w:val="22"/>
          <w:szCs w:val="22"/>
        </w:rPr>
      </w:pPr>
      <w:r w:rsidRPr="00551019">
        <w:rPr>
          <w:rFonts w:asciiTheme="minorHAnsi" w:hAnsiTheme="minorHAnsi"/>
          <w:bCs/>
          <w:color w:val="C00000"/>
          <w:sz w:val="22"/>
          <w:szCs w:val="22"/>
        </w:rPr>
        <w:t>Time:</w:t>
      </w:r>
      <w:r w:rsidRPr="00551019">
        <w:rPr>
          <w:rFonts w:asciiTheme="minorHAnsi" w:hAnsiTheme="minorHAnsi"/>
          <w:b/>
          <w:color w:val="C00000"/>
          <w:sz w:val="22"/>
          <w:szCs w:val="22"/>
        </w:rPr>
        <w:t xml:space="preserve"> 2:00 PM C</w:t>
      </w:r>
      <w:r w:rsidR="00CE2809">
        <w:rPr>
          <w:rFonts w:asciiTheme="minorHAnsi" w:hAnsiTheme="minorHAnsi"/>
          <w:b/>
          <w:color w:val="C00000"/>
          <w:sz w:val="22"/>
          <w:szCs w:val="22"/>
        </w:rPr>
        <w:t>S</w:t>
      </w:r>
      <w:r w:rsidRPr="00551019">
        <w:rPr>
          <w:rFonts w:asciiTheme="minorHAnsi" w:hAnsiTheme="minorHAnsi"/>
          <w:b/>
          <w:color w:val="C00000"/>
          <w:sz w:val="22"/>
          <w:szCs w:val="22"/>
        </w:rPr>
        <w:t>T</w:t>
      </w:r>
    </w:p>
    <w:p w14:paraId="4992CD01" w14:textId="77777777" w:rsidR="00ED1F12" w:rsidRPr="00ED1F12" w:rsidRDefault="00ED1F12" w:rsidP="00551019">
      <w:pPr>
        <w:pStyle w:val="ListParagraph"/>
        <w:ind w:left="0"/>
        <w:jc w:val="both"/>
        <w:rPr>
          <w:rFonts w:asciiTheme="minorHAnsi" w:hAnsiTheme="minorHAnsi"/>
          <w:sz w:val="22"/>
          <w:szCs w:val="22"/>
        </w:rPr>
      </w:pPr>
      <w:r w:rsidRPr="00ED1F12">
        <w:rPr>
          <w:rFonts w:asciiTheme="minorHAnsi" w:hAnsiTheme="minorHAnsi"/>
          <w:sz w:val="22"/>
          <w:szCs w:val="22"/>
        </w:rPr>
        <w:t xml:space="preserve"> </w:t>
      </w:r>
    </w:p>
    <w:p w14:paraId="301EB4AB" w14:textId="097763A4" w:rsidR="00686755" w:rsidRPr="00744F41" w:rsidRDefault="00707DEF" w:rsidP="00551019">
      <w:pPr>
        <w:pStyle w:val="ListParagraph"/>
        <w:ind w:left="0" w:right="720"/>
        <w:jc w:val="both"/>
        <w:rPr>
          <w:rFonts w:asciiTheme="minorHAnsi" w:hAnsiTheme="minorHAnsi"/>
          <w:bCs/>
          <w:color w:val="365F91" w:themeColor="accent1" w:themeShade="BF"/>
          <w:sz w:val="20"/>
          <w:szCs w:val="20"/>
        </w:rPr>
      </w:pPr>
      <w:r w:rsidRPr="00744F41">
        <w:rPr>
          <w:rFonts w:asciiTheme="minorHAnsi" w:hAnsiTheme="minorHAnsi"/>
          <w:color w:val="365F91" w:themeColor="accent1" w:themeShade="BF"/>
          <w:sz w:val="20"/>
          <w:szCs w:val="20"/>
        </w:rPr>
        <w:t>T</w:t>
      </w:r>
      <w:r w:rsidR="00686755" w:rsidRPr="00744F41">
        <w:rPr>
          <w:rFonts w:asciiTheme="minorHAnsi" w:hAnsiTheme="minorHAnsi"/>
          <w:color w:val="365F91" w:themeColor="accent1" w:themeShade="BF"/>
          <w:sz w:val="20"/>
          <w:szCs w:val="20"/>
        </w:rPr>
        <w:t xml:space="preserve">he </w:t>
      </w:r>
      <w:r w:rsidRPr="00744F41">
        <w:rPr>
          <w:rFonts w:asciiTheme="minorHAnsi" w:hAnsiTheme="minorHAnsi"/>
          <w:color w:val="365F91" w:themeColor="accent1" w:themeShade="BF"/>
          <w:sz w:val="20"/>
          <w:szCs w:val="20"/>
        </w:rPr>
        <w:t>IFB</w:t>
      </w:r>
      <w:r w:rsidR="00686755" w:rsidRPr="00744F41">
        <w:rPr>
          <w:rFonts w:asciiTheme="minorHAnsi" w:hAnsiTheme="minorHAnsi"/>
          <w:color w:val="365F91" w:themeColor="accent1" w:themeShade="BF"/>
          <w:sz w:val="20"/>
          <w:szCs w:val="20"/>
        </w:rPr>
        <w:t xml:space="preserve"> CONTRACT</w:t>
      </w:r>
      <w:r w:rsidRPr="00744F41">
        <w:rPr>
          <w:rFonts w:asciiTheme="minorHAnsi" w:hAnsiTheme="minorHAnsi"/>
          <w:color w:val="365F91" w:themeColor="accent1" w:themeShade="BF"/>
          <w:sz w:val="20"/>
          <w:szCs w:val="20"/>
        </w:rPr>
        <w:t xml:space="preserve"> section</w:t>
      </w:r>
      <w:r w:rsidR="00686755" w:rsidRPr="00744F41">
        <w:rPr>
          <w:rFonts w:asciiTheme="minorHAnsi" w:hAnsiTheme="minorHAnsi"/>
          <w:color w:val="365F91" w:themeColor="accent1" w:themeShade="BF"/>
          <w:sz w:val="20"/>
          <w:szCs w:val="20"/>
        </w:rPr>
        <w:t xml:space="preserve">, 1. </w:t>
      </w:r>
      <w:r w:rsidR="00686755" w:rsidRPr="00744F41">
        <w:rPr>
          <w:rFonts w:asciiTheme="minorHAnsi" w:hAnsiTheme="minorHAnsi"/>
          <w:b/>
          <w:color w:val="365F91" w:themeColor="accent1" w:themeShade="BF"/>
          <w:sz w:val="20"/>
          <w:szCs w:val="20"/>
        </w:rPr>
        <w:t>DESCRIPTION OF SUPPLIES AND SERVICES, specifically 1.2.</w:t>
      </w:r>
      <w:r w:rsidRPr="00744F41">
        <w:rPr>
          <w:rFonts w:asciiTheme="minorHAnsi" w:hAnsiTheme="minorHAnsi"/>
          <w:b/>
          <w:color w:val="365F91" w:themeColor="accent1" w:themeShade="BF"/>
          <w:sz w:val="20"/>
          <w:szCs w:val="20"/>
        </w:rPr>
        <w:t xml:space="preserve"> </w:t>
      </w:r>
      <w:r w:rsidR="00686755" w:rsidRPr="00744F41">
        <w:rPr>
          <w:rFonts w:asciiTheme="minorHAnsi" w:hAnsiTheme="minorHAnsi"/>
          <w:b/>
          <w:color w:val="365F91" w:themeColor="accent1" w:themeShade="BF"/>
          <w:sz w:val="20"/>
          <w:szCs w:val="20"/>
        </w:rPr>
        <w:t>SUPPLIES AND/OR SERVICES REQUIRED:  Mandatory Requirements</w:t>
      </w:r>
      <w:r w:rsidR="00686755" w:rsidRPr="00744F41">
        <w:rPr>
          <w:rFonts w:asciiTheme="minorHAnsi" w:hAnsiTheme="minorHAnsi"/>
          <w:bCs/>
          <w:color w:val="365F91" w:themeColor="accent1" w:themeShade="BF"/>
          <w:sz w:val="20"/>
          <w:szCs w:val="20"/>
        </w:rPr>
        <w:t xml:space="preserve">:  </w:t>
      </w:r>
      <w:r w:rsidRPr="00744F41">
        <w:rPr>
          <w:rFonts w:asciiTheme="minorHAnsi" w:hAnsiTheme="minorHAnsi"/>
          <w:bCs/>
          <w:color w:val="365F91" w:themeColor="accent1" w:themeShade="BF"/>
          <w:sz w:val="20"/>
          <w:szCs w:val="20"/>
        </w:rPr>
        <w:t>is being expanded as follows:</w:t>
      </w:r>
    </w:p>
    <w:p w14:paraId="443641BA" w14:textId="77777777" w:rsidR="00707DEF" w:rsidRPr="00744F41" w:rsidRDefault="00707DEF" w:rsidP="00744F41">
      <w:pPr>
        <w:pStyle w:val="ListParagraph"/>
        <w:ind w:left="360" w:right="720"/>
        <w:jc w:val="both"/>
        <w:rPr>
          <w:rFonts w:asciiTheme="minorHAnsi" w:hAnsiTheme="minorHAnsi"/>
          <w:bCs/>
          <w:color w:val="C00000"/>
          <w:sz w:val="20"/>
          <w:szCs w:val="20"/>
        </w:rPr>
      </w:pPr>
    </w:p>
    <w:tbl>
      <w:tblPr>
        <w:tblW w:w="8384" w:type="dxa"/>
        <w:tblInd w:w="355" w:type="dxa"/>
        <w:tblLook w:val="04A0" w:firstRow="1" w:lastRow="0" w:firstColumn="1" w:lastColumn="0" w:noHBand="0" w:noVBand="1"/>
      </w:tblPr>
      <w:tblGrid>
        <w:gridCol w:w="5116"/>
        <w:gridCol w:w="1634"/>
        <w:gridCol w:w="1634"/>
      </w:tblGrid>
      <w:tr w:rsidR="00686755" w:rsidRPr="00551019" w14:paraId="4231C1FB" w14:textId="77777777" w:rsidTr="00551019">
        <w:trPr>
          <w:trHeight w:val="292"/>
        </w:trPr>
        <w:tc>
          <w:tcPr>
            <w:tcW w:w="5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53E193" w14:textId="77777777" w:rsidR="00686755" w:rsidRPr="00551019" w:rsidRDefault="00686755" w:rsidP="00744F41">
            <w:pPr>
              <w:ind w:left="360" w:right="720"/>
              <w:jc w:val="center"/>
              <w:rPr>
                <w:rFonts w:asciiTheme="minorHAnsi" w:hAnsiTheme="minorHAnsi"/>
                <w:b/>
                <w:sz w:val="20"/>
                <w:szCs w:val="20"/>
              </w:rPr>
            </w:pPr>
            <w:r w:rsidRPr="00551019">
              <w:rPr>
                <w:rFonts w:asciiTheme="minorHAnsi" w:hAnsiTheme="minorHAnsi"/>
                <w:b/>
                <w:sz w:val="20"/>
                <w:szCs w:val="20"/>
              </w:rPr>
              <w:t>Mandatory Requirements</w:t>
            </w:r>
          </w:p>
          <w:p w14:paraId="61019805" w14:textId="6A29CAE5" w:rsidR="00686755" w:rsidRPr="00551019" w:rsidRDefault="00686755" w:rsidP="00744F41">
            <w:pPr>
              <w:ind w:left="360" w:right="720"/>
              <w:jc w:val="center"/>
              <w:rPr>
                <w:rFonts w:ascii="Calibri" w:hAnsi="Calibri"/>
                <w:b/>
                <w:color w:val="000000"/>
                <w:sz w:val="20"/>
                <w:szCs w:val="20"/>
              </w:rPr>
            </w:pPr>
            <w:r w:rsidRPr="00551019">
              <w:rPr>
                <w:rFonts w:asciiTheme="minorHAnsi" w:hAnsiTheme="minorHAnsi"/>
                <w:b/>
                <w:sz w:val="20"/>
                <w:szCs w:val="20"/>
              </w:rPr>
              <w:t>Documented evidence of the mandatory requirements must be explicitly exhibited</w:t>
            </w:r>
            <w:r w:rsidR="00551019">
              <w:rPr>
                <w:rFonts w:asciiTheme="minorHAnsi" w:hAnsiTheme="minorHAnsi"/>
                <w:b/>
                <w:sz w:val="20"/>
                <w:szCs w:val="20"/>
              </w:rPr>
              <w:t>.</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1531ECEF" w14:textId="77777777" w:rsidR="00686755" w:rsidRPr="00551019" w:rsidRDefault="00686755" w:rsidP="00744F41">
            <w:pPr>
              <w:ind w:left="360" w:right="720"/>
              <w:jc w:val="center"/>
              <w:rPr>
                <w:rFonts w:ascii="Calibri" w:hAnsi="Calibri"/>
                <w:color w:val="000000"/>
                <w:sz w:val="20"/>
                <w:szCs w:val="20"/>
              </w:rPr>
            </w:pPr>
            <w:r w:rsidRPr="00551019">
              <w:rPr>
                <w:rFonts w:ascii="Calibri" w:hAnsi="Calibri"/>
                <w:color w:val="000000"/>
                <w:sz w:val="20"/>
                <w:szCs w:val="20"/>
              </w:rPr>
              <w:t>Met</w:t>
            </w:r>
          </w:p>
        </w:tc>
        <w:tc>
          <w:tcPr>
            <w:tcW w:w="1634" w:type="dxa"/>
            <w:tcBorders>
              <w:top w:val="single" w:sz="4" w:space="0" w:color="auto"/>
              <w:left w:val="nil"/>
              <w:bottom w:val="single" w:sz="4" w:space="0" w:color="auto"/>
              <w:right w:val="single" w:sz="4" w:space="0" w:color="auto"/>
            </w:tcBorders>
            <w:shd w:val="clear" w:color="auto" w:fill="auto"/>
            <w:noWrap/>
            <w:vAlign w:val="bottom"/>
            <w:hideMark/>
          </w:tcPr>
          <w:p w14:paraId="375B3CA1" w14:textId="77777777" w:rsidR="00686755" w:rsidRPr="00551019" w:rsidRDefault="00686755" w:rsidP="00551019">
            <w:pPr>
              <w:ind w:left="246" w:right="720"/>
              <w:jc w:val="center"/>
              <w:rPr>
                <w:rFonts w:ascii="Calibri" w:hAnsi="Calibri"/>
                <w:color w:val="000000"/>
                <w:sz w:val="20"/>
                <w:szCs w:val="20"/>
              </w:rPr>
            </w:pPr>
            <w:r w:rsidRPr="00551019">
              <w:rPr>
                <w:rFonts w:ascii="Calibri" w:hAnsi="Calibri"/>
                <w:color w:val="000000"/>
                <w:sz w:val="20"/>
                <w:szCs w:val="20"/>
              </w:rPr>
              <w:t>Not Met</w:t>
            </w:r>
          </w:p>
        </w:tc>
      </w:tr>
      <w:tr w:rsidR="00686755" w:rsidRPr="00744F41" w14:paraId="7264D206" w14:textId="77777777" w:rsidTr="00551019">
        <w:trPr>
          <w:trHeight w:val="6299"/>
        </w:trPr>
        <w:tc>
          <w:tcPr>
            <w:tcW w:w="5220" w:type="dxa"/>
            <w:tcBorders>
              <w:top w:val="nil"/>
              <w:left w:val="single" w:sz="4" w:space="0" w:color="auto"/>
              <w:bottom w:val="single" w:sz="4" w:space="0" w:color="auto"/>
              <w:right w:val="single" w:sz="4" w:space="0" w:color="auto"/>
            </w:tcBorders>
            <w:shd w:val="clear" w:color="auto" w:fill="auto"/>
            <w:hideMark/>
          </w:tcPr>
          <w:p w14:paraId="3E4FE6F3" w14:textId="2BE655E0" w:rsidR="00551019" w:rsidRPr="00551019" w:rsidRDefault="00066529" w:rsidP="00551019">
            <w:pPr>
              <w:pStyle w:val="ListParagraph"/>
              <w:numPr>
                <w:ilvl w:val="0"/>
                <w:numId w:val="26"/>
              </w:numPr>
              <w:spacing w:before="240" w:after="240" w:line="276" w:lineRule="auto"/>
              <w:ind w:left="522" w:hanging="450"/>
              <w:jc w:val="both"/>
              <w:rPr>
                <w:rFonts w:asciiTheme="minorHAnsi" w:hAnsiTheme="minorHAnsi"/>
                <w:color w:val="C00000"/>
                <w:sz w:val="20"/>
                <w:szCs w:val="20"/>
              </w:rPr>
            </w:pPr>
            <w:r w:rsidRPr="00551019">
              <w:rPr>
                <w:rFonts w:asciiTheme="minorHAnsi" w:hAnsiTheme="minorHAnsi"/>
                <w:color w:val="365F91" w:themeColor="accent1" w:themeShade="BF"/>
                <w:sz w:val="20"/>
                <w:szCs w:val="20"/>
              </w:rPr>
              <w:t xml:space="preserve">The </w:t>
            </w:r>
            <w:r w:rsidRPr="00551019">
              <w:rPr>
                <w:rFonts w:asciiTheme="minorHAnsi" w:hAnsiTheme="minorHAnsi"/>
                <w:color w:val="365F91" w:themeColor="accent1" w:themeShade="BF"/>
                <w:spacing w:val="-5"/>
                <w:sz w:val="20"/>
                <w:szCs w:val="20"/>
              </w:rPr>
              <w:t xml:space="preserve">Responsive and Responsible Bidder who submits the lowest price </w:t>
            </w:r>
            <w:r w:rsidR="00707DEF" w:rsidRPr="00551019">
              <w:rPr>
                <w:rFonts w:asciiTheme="minorHAnsi" w:hAnsiTheme="minorHAnsi"/>
                <w:color w:val="365F91" w:themeColor="accent1" w:themeShade="BF"/>
                <w:sz w:val="20"/>
                <w:szCs w:val="20"/>
              </w:rPr>
              <w:t xml:space="preserve">will be required to participate in a </w:t>
            </w:r>
            <w:r w:rsidR="00707DEF" w:rsidRPr="00551019">
              <w:rPr>
                <w:rFonts w:asciiTheme="minorHAnsi" w:hAnsiTheme="minorHAnsi"/>
                <w:i/>
                <w:iCs/>
                <w:color w:val="365F91" w:themeColor="accent1" w:themeShade="BF"/>
                <w:sz w:val="20"/>
                <w:szCs w:val="20"/>
              </w:rPr>
              <w:t>Pass/</w:t>
            </w:r>
            <w:r w:rsidR="00707DEF" w:rsidRPr="00CE2809">
              <w:rPr>
                <w:rFonts w:asciiTheme="minorHAnsi" w:hAnsiTheme="minorHAnsi"/>
                <w:i/>
                <w:iCs/>
                <w:color w:val="244061" w:themeColor="accent1" w:themeShade="80"/>
                <w:sz w:val="20"/>
                <w:szCs w:val="20"/>
              </w:rPr>
              <w:t>Fail Product Demonstration</w:t>
            </w:r>
            <w:r w:rsidR="00707DEF" w:rsidRPr="00CE2809">
              <w:rPr>
                <w:rFonts w:asciiTheme="minorHAnsi" w:hAnsiTheme="minorHAnsi"/>
                <w:color w:val="244061" w:themeColor="accent1" w:themeShade="80"/>
                <w:sz w:val="20"/>
                <w:szCs w:val="20"/>
              </w:rPr>
              <w:t xml:space="preserve"> of the </w:t>
            </w:r>
            <w:r w:rsidR="00551019" w:rsidRPr="00CE2809">
              <w:rPr>
                <w:rFonts w:asciiTheme="minorHAnsi" w:hAnsiTheme="minorHAnsi"/>
                <w:color w:val="244061" w:themeColor="accent1" w:themeShade="80"/>
                <w:sz w:val="20"/>
                <w:szCs w:val="20"/>
              </w:rPr>
              <w:t>M</w:t>
            </w:r>
            <w:r w:rsidR="00707DEF" w:rsidRPr="00CE2809">
              <w:rPr>
                <w:rFonts w:asciiTheme="minorHAnsi" w:hAnsiTheme="minorHAnsi"/>
                <w:color w:val="244061" w:themeColor="accent1" w:themeShade="80"/>
                <w:sz w:val="20"/>
                <w:szCs w:val="20"/>
              </w:rPr>
              <w:t xml:space="preserve">andatory </w:t>
            </w:r>
            <w:r w:rsidR="00551019" w:rsidRPr="00CE2809">
              <w:rPr>
                <w:rFonts w:asciiTheme="minorHAnsi" w:hAnsiTheme="minorHAnsi"/>
                <w:color w:val="244061" w:themeColor="accent1" w:themeShade="80"/>
                <w:sz w:val="20"/>
                <w:szCs w:val="20"/>
              </w:rPr>
              <w:t>R</w:t>
            </w:r>
            <w:r w:rsidR="00707DEF" w:rsidRPr="00CE2809">
              <w:rPr>
                <w:rFonts w:asciiTheme="minorHAnsi" w:hAnsiTheme="minorHAnsi"/>
                <w:color w:val="244061" w:themeColor="accent1" w:themeShade="80"/>
                <w:sz w:val="20"/>
                <w:szCs w:val="20"/>
              </w:rPr>
              <w:t>equirements</w:t>
            </w:r>
            <w:r w:rsidR="00707DEF" w:rsidRPr="00CE2809">
              <w:rPr>
                <w:rFonts w:asciiTheme="minorHAnsi" w:hAnsiTheme="minorHAnsi"/>
                <w:color w:val="365F91" w:themeColor="accent1" w:themeShade="BF"/>
                <w:sz w:val="20"/>
                <w:szCs w:val="20"/>
              </w:rPr>
              <w:t xml:space="preserve">.  </w:t>
            </w:r>
            <w:r w:rsidRPr="00CE2809">
              <w:rPr>
                <w:rFonts w:asciiTheme="minorHAnsi" w:hAnsiTheme="minorHAnsi"/>
                <w:color w:val="365F91" w:themeColor="accent1" w:themeShade="BF"/>
                <w:sz w:val="20"/>
                <w:szCs w:val="20"/>
              </w:rPr>
              <w:t xml:space="preserve">The Bidder is </w:t>
            </w:r>
            <w:r w:rsidR="00707DEF" w:rsidRPr="00CE2809">
              <w:rPr>
                <w:rFonts w:asciiTheme="minorHAnsi" w:hAnsiTheme="minorHAnsi"/>
                <w:color w:val="365F91" w:themeColor="accent1" w:themeShade="BF"/>
                <w:sz w:val="20"/>
                <w:szCs w:val="20"/>
              </w:rPr>
              <w:t>required to provide equipment</w:t>
            </w:r>
            <w:r w:rsidR="00CE2809" w:rsidRPr="00CE2809">
              <w:rPr>
                <w:rFonts w:asciiTheme="minorHAnsi" w:hAnsiTheme="minorHAnsi"/>
                <w:color w:val="365F91" w:themeColor="accent1" w:themeShade="BF"/>
                <w:sz w:val="20"/>
                <w:szCs w:val="20"/>
              </w:rPr>
              <w:t xml:space="preserve">, software and/or network requirements </w:t>
            </w:r>
            <w:r w:rsidR="00707DEF" w:rsidRPr="00CE2809">
              <w:rPr>
                <w:rFonts w:asciiTheme="minorHAnsi" w:hAnsiTheme="minorHAnsi"/>
                <w:color w:val="365F91" w:themeColor="accent1" w:themeShade="BF"/>
                <w:sz w:val="20"/>
                <w:szCs w:val="20"/>
              </w:rPr>
              <w:t xml:space="preserve">and personnel, at their cost, for the Department’s use in determining </w:t>
            </w:r>
            <w:r w:rsidR="00707DEF" w:rsidRPr="00CE2809">
              <w:rPr>
                <w:rFonts w:asciiTheme="minorHAnsi" w:hAnsiTheme="minorHAnsi"/>
                <w:b/>
                <w:bCs/>
                <w:color w:val="365F91" w:themeColor="accent1" w:themeShade="BF"/>
                <w:sz w:val="20"/>
                <w:szCs w:val="20"/>
              </w:rPr>
              <w:t>equally acceptable</w:t>
            </w:r>
            <w:r w:rsidR="002E77D2" w:rsidRPr="00CE2809">
              <w:rPr>
                <w:rFonts w:asciiTheme="minorHAnsi" w:hAnsiTheme="minorHAnsi"/>
                <w:b/>
                <w:bCs/>
                <w:color w:val="365F91" w:themeColor="accent1" w:themeShade="BF"/>
                <w:sz w:val="20"/>
                <w:szCs w:val="20"/>
              </w:rPr>
              <w:t xml:space="preserve"> to </w:t>
            </w:r>
            <w:r w:rsidR="00707DEF" w:rsidRPr="00CE2809">
              <w:rPr>
                <w:rFonts w:asciiTheme="minorHAnsi" w:hAnsiTheme="minorHAnsi"/>
                <w:b/>
                <w:bCs/>
                <w:color w:val="365F91" w:themeColor="accent1" w:themeShade="BF"/>
                <w:sz w:val="20"/>
                <w:szCs w:val="20"/>
              </w:rPr>
              <w:t xml:space="preserve">and compatible </w:t>
            </w:r>
            <w:r w:rsidR="002E77D2" w:rsidRPr="00CE2809">
              <w:rPr>
                <w:rFonts w:asciiTheme="minorHAnsi" w:hAnsiTheme="minorHAnsi"/>
                <w:color w:val="365F91" w:themeColor="accent1" w:themeShade="BF"/>
                <w:sz w:val="20"/>
                <w:szCs w:val="20"/>
              </w:rPr>
              <w:t>with</w:t>
            </w:r>
            <w:r w:rsidR="002E77D2" w:rsidRPr="00CE2809">
              <w:rPr>
                <w:rFonts w:asciiTheme="minorHAnsi" w:hAnsiTheme="minorHAnsi"/>
                <w:b/>
                <w:bCs/>
                <w:color w:val="365F91" w:themeColor="accent1" w:themeShade="BF"/>
                <w:sz w:val="20"/>
                <w:szCs w:val="20"/>
              </w:rPr>
              <w:t xml:space="preserve"> the intended use of the specified Trimble Brand GPS Equipment</w:t>
            </w:r>
            <w:r w:rsidR="00707DEF" w:rsidRPr="00CE2809">
              <w:rPr>
                <w:rFonts w:asciiTheme="minorHAnsi" w:hAnsiTheme="minorHAnsi"/>
                <w:color w:val="365F91" w:themeColor="accent1" w:themeShade="BF"/>
                <w:sz w:val="20"/>
                <w:szCs w:val="20"/>
              </w:rPr>
              <w:t xml:space="preserve">.  </w:t>
            </w:r>
            <w:r w:rsidR="00707DEF" w:rsidRPr="00CE2809">
              <w:rPr>
                <w:rFonts w:asciiTheme="minorHAnsi" w:hAnsiTheme="minorHAnsi"/>
                <w:b/>
                <w:bCs/>
                <w:color w:val="365F91" w:themeColor="accent1" w:themeShade="BF"/>
                <w:sz w:val="20"/>
                <w:szCs w:val="20"/>
              </w:rPr>
              <w:t>All the mandatory requirements specified in this IFB must be met.</w:t>
            </w:r>
            <w:r w:rsidR="00707DEF" w:rsidRPr="00CE2809">
              <w:rPr>
                <w:rFonts w:asciiTheme="minorHAnsi" w:hAnsiTheme="minorHAnsi"/>
                <w:color w:val="365F91" w:themeColor="accent1" w:themeShade="BF"/>
                <w:sz w:val="20"/>
                <w:szCs w:val="20"/>
              </w:rPr>
              <w:t xml:space="preserve">  The Department will be the sole judge as to determining equally acceptable and compatibility</w:t>
            </w:r>
            <w:r w:rsidR="00707DEF" w:rsidRPr="00551019">
              <w:rPr>
                <w:rFonts w:asciiTheme="minorHAnsi" w:hAnsiTheme="minorHAnsi"/>
                <w:color w:val="365F91" w:themeColor="accent1" w:themeShade="BF"/>
                <w:sz w:val="20"/>
                <w:szCs w:val="20"/>
              </w:rPr>
              <w:t xml:space="preserve">.  </w:t>
            </w:r>
            <w:r w:rsidR="002E77D2" w:rsidRPr="00551019">
              <w:rPr>
                <w:rFonts w:asciiTheme="minorHAnsi" w:hAnsiTheme="minorHAnsi"/>
                <w:color w:val="365F91" w:themeColor="accent1" w:themeShade="BF"/>
                <w:sz w:val="20"/>
                <w:szCs w:val="20"/>
              </w:rPr>
              <w:t xml:space="preserve">Should the </w:t>
            </w:r>
            <w:r w:rsidR="002E77D2" w:rsidRPr="00551019">
              <w:rPr>
                <w:rFonts w:asciiTheme="minorHAnsi" w:hAnsiTheme="minorHAnsi"/>
                <w:color w:val="365F91" w:themeColor="accent1" w:themeShade="BF"/>
                <w:spacing w:val="-5"/>
                <w:sz w:val="20"/>
                <w:szCs w:val="20"/>
              </w:rPr>
              <w:t xml:space="preserve">Responsive and Responsible Bidder who submits the lowest price </w:t>
            </w:r>
            <w:r w:rsidR="002E77D2" w:rsidRPr="00551019">
              <w:rPr>
                <w:rFonts w:asciiTheme="minorHAnsi" w:hAnsiTheme="minorHAnsi"/>
                <w:i/>
                <w:iCs/>
                <w:color w:val="365F91" w:themeColor="accent1" w:themeShade="BF"/>
                <w:spacing w:val="-5"/>
                <w:sz w:val="20"/>
                <w:szCs w:val="20"/>
              </w:rPr>
              <w:t>Fail</w:t>
            </w:r>
            <w:r w:rsidR="002E77D2" w:rsidRPr="00551019">
              <w:rPr>
                <w:rFonts w:asciiTheme="minorHAnsi" w:hAnsiTheme="minorHAnsi"/>
                <w:color w:val="365F91" w:themeColor="accent1" w:themeShade="BF"/>
                <w:spacing w:val="-5"/>
                <w:sz w:val="20"/>
                <w:szCs w:val="20"/>
              </w:rPr>
              <w:t xml:space="preserve"> the </w:t>
            </w:r>
            <w:r w:rsidR="002E77D2" w:rsidRPr="00551019">
              <w:rPr>
                <w:rFonts w:asciiTheme="minorHAnsi" w:hAnsiTheme="minorHAnsi"/>
                <w:i/>
                <w:iCs/>
                <w:color w:val="365F91" w:themeColor="accent1" w:themeShade="BF"/>
                <w:spacing w:val="-5"/>
                <w:sz w:val="20"/>
                <w:szCs w:val="20"/>
              </w:rPr>
              <w:t>Product Demonstration</w:t>
            </w:r>
            <w:r w:rsidR="002E77D2" w:rsidRPr="00551019">
              <w:rPr>
                <w:rFonts w:asciiTheme="minorHAnsi" w:hAnsiTheme="minorHAnsi"/>
                <w:color w:val="365F91" w:themeColor="accent1" w:themeShade="BF"/>
                <w:spacing w:val="-5"/>
                <w:sz w:val="20"/>
                <w:szCs w:val="20"/>
              </w:rPr>
              <w:t xml:space="preserve">, the State may proceed with the next lowest priced Responsive and Responsible Bidder for their </w:t>
            </w:r>
            <w:r w:rsidR="002E77D2" w:rsidRPr="00551019">
              <w:rPr>
                <w:rFonts w:asciiTheme="minorHAnsi" w:hAnsiTheme="minorHAnsi"/>
                <w:i/>
                <w:iCs/>
                <w:color w:val="365F91" w:themeColor="accent1" w:themeShade="BF"/>
                <w:spacing w:val="-5"/>
                <w:sz w:val="20"/>
                <w:szCs w:val="20"/>
              </w:rPr>
              <w:t>Product Demonstration</w:t>
            </w:r>
            <w:r w:rsidR="002E77D2" w:rsidRPr="00551019">
              <w:rPr>
                <w:rFonts w:asciiTheme="minorHAnsi" w:hAnsiTheme="minorHAnsi"/>
                <w:color w:val="365F91" w:themeColor="accent1" w:themeShade="BF"/>
                <w:spacing w:val="-5"/>
                <w:sz w:val="20"/>
                <w:szCs w:val="20"/>
              </w:rPr>
              <w:t xml:space="preserve">.  </w:t>
            </w:r>
          </w:p>
          <w:p w14:paraId="4E8786DB" w14:textId="77777777" w:rsidR="00551019" w:rsidRPr="00551019" w:rsidRDefault="00551019" w:rsidP="00551019">
            <w:pPr>
              <w:pStyle w:val="ListParagraph"/>
              <w:spacing w:before="240" w:after="240" w:line="276" w:lineRule="auto"/>
              <w:ind w:left="522"/>
              <w:jc w:val="both"/>
              <w:rPr>
                <w:rFonts w:asciiTheme="minorHAnsi" w:hAnsiTheme="minorHAnsi"/>
                <w:color w:val="365F91" w:themeColor="accent1" w:themeShade="BF"/>
                <w:sz w:val="20"/>
                <w:szCs w:val="20"/>
              </w:rPr>
            </w:pPr>
          </w:p>
          <w:p w14:paraId="4C293C7D" w14:textId="5F45A83E" w:rsidR="00686755" w:rsidRPr="00744F41" w:rsidRDefault="00707DEF" w:rsidP="00551019">
            <w:pPr>
              <w:pStyle w:val="ListParagraph"/>
              <w:spacing w:before="240" w:after="240" w:line="276" w:lineRule="auto"/>
              <w:ind w:left="522"/>
              <w:jc w:val="both"/>
              <w:rPr>
                <w:rFonts w:asciiTheme="minorHAnsi" w:hAnsiTheme="minorHAnsi"/>
                <w:color w:val="C00000"/>
                <w:sz w:val="20"/>
                <w:szCs w:val="20"/>
              </w:rPr>
            </w:pPr>
            <w:r w:rsidRPr="00551019">
              <w:rPr>
                <w:rFonts w:asciiTheme="minorHAnsi" w:hAnsiTheme="minorHAnsi"/>
                <w:color w:val="365F91" w:themeColor="accent1" w:themeShade="BF"/>
                <w:sz w:val="20"/>
                <w:szCs w:val="20"/>
              </w:rPr>
              <w:t>Additional information regarding the schedule and time of the</w:t>
            </w:r>
            <w:r w:rsidRPr="00551019">
              <w:rPr>
                <w:rFonts w:asciiTheme="minorHAnsi" w:hAnsiTheme="minorHAnsi"/>
                <w:i/>
                <w:iCs/>
                <w:color w:val="365F91" w:themeColor="accent1" w:themeShade="BF"/>
                <w:sz w:val="20"/>
                <w:szCs w:val="20"/>
              </w:rPr>
              <w:t xml:space="preserve"> Pass/Fail Product Demonstration</w:t>
            </w:r>
            <w:r w:rsidRPr="00551019">
              <w:rPr>
                <w:rFonts w:asciiTheme="minorHAnsi" w:hAnsiTheme="minorHAnsi"/>
                <w:color w:val="365F91" w:themeColor="accent1" w:themeShade="BF"/>
                <w:sz w:val="20"/>
                <w:szCs w:val="20"/>
              </w:rPr>
              <w:t xml:space="preserve"> will be provided to</w:t>
            </w:r>
            <w:r w:rsidR="00551019" w:rsidRPr="00551019">
              <w:rPr>
                <w:rFonts w:asciiTheme="minorHAnsi" w:hAnsiTheme="minorHAnsi"/>
                <w:color w:val="365F91" w:themeColor="accent1" w:themeShade="BF"/>
                <w:sz w:val="20"/>
                <w:szCs w:val="20"/>
              </w:rPr>
              <w:t xml:space="preserve"> the Responsive and Responsible Bidder who submits the lowest price</w:t>
            </w:r>
            <w:r w:rsidR="00CE2809">
              <w:rPr>
                <w:rFonts w:asciiTheme="minorHAnsi" w:hAnsiTheme="minorHAnsi"/>
                <w:color w:val="365F91" w:themeColor="accent1" w:themeShade="BF"/>
                <w:sz w:val="20"/>
                <w:szCs w:val="20"/>
              </w:rPr>
              <w:t>.</w:t>
            </w:r>
          </w:p>
        </w:tc>
        <w:tc>
          <w:tcPr>
            <w:tcW w:w="1530" w:type="dxa"/>
            <w:tcBorders>
              <w:top w:val="nil"/>
              <w:left w:val="nil"/>
              <w:bottom w:val="single" w:sz="4" w:space="0" w:color="auto"/>
              <w:right w:val="single" w:sz="4" w:space="0" w:color="auto"/>
            </w:tcBorders>
            <w:shd w:val="clear" w:color="auto" w:fill="auto"/>
            <w:hideMark/>
          </w:tcPr>
          <w:p w14:paraId="65025D33" w14:textId="77777777" w:rsidR="00686755" w:rsidRPr="00744F41" w:rsidRDefault="00686755" w:rsidP="00807C55">
            <w:pPr>
              <w:ind w:left="360" w:right="720"/>
              <w:jc w:val="both"/>
              <w:rPr>
                <w:color w:val="000000"/>
                <w:sz w:val="20"/>
                <w:szCs w:val="20"/>
              </w:rPr>
            </w:pPr>
          </w:p>
        </w:tc>
        <w:tc>
          <w:tcPr>
            <w:tcW w:w="1634" w:type="dxa"/>
            <w:tcBorders>
              <w:top w:val="nil"/>
              <w:left w:val="nil"/>
              <w:bottom w:val="single" w:sz="4" w:space="0" w:color="auto"/>
              <w:right w:val="single" w:sz="4" w:space="0" w:color="auto"/>
            </w:tcBorders>
            <w:shd w:val="clear" w:color="auto" w:fill="auto"/>
            <w:noWrap/>
            <w:hideMark/>
          </w:tcPr>
          <w:p w14:paraId="26BE6CE8" w14:textId="77777777" w:rsidR="00686755" w:rsidRPr="00744F41" w:rsidRDefault="00686755" w:rsidP="00807C55">
            <w:pPr>
              <w:ind w:left="360" w:right="720"/>
              <w:jc w:val="both"/>
              <w:rPr>
                <w:color w:val="000000"/>
                <w:sz w:val="20"/>
                <w:szCs w:val="20"/>
              </w:rPr>
            </w:pPr>
          </w:p>
        </w:tc>
      </w:tr>
    </w:tbl>
    <w:p w14:paraId="11657311" w14:textId="622BC9A2" w:rsidR="00707DEF" w:rsidRPr="00744F41" w:rsidRDefault="00707DEF" w:rsidP="00807C55">
      <w:pPr>
        <w:pStyle w:val="ListParagraph"/>
        <w:ind w:left="360" w:right="720"/>
        <w:jc w:val="both"/>
        <w:rPr>
          <w:rFonts w:asciiTheme="minorHAnsi" w:hAnsiTheme="minorHAnsi"/>
          <w:sz w:val="20"/>
          <w:szCs w:val="20"/>
        </w:rPr>
      </w:pPr>
    </w:p>
    <w:p w14:paraId="49DE911D" w14:textId="77777777" w:rsidR="00E1182C" w:rsidRDefault="00E1182C" w:rsidP="00744F41">
      <w:pPr>
        <w:pStyle w:val="ListParagraph"/>
        <w:autoSpaceDE w:val="0"/>
        <w:autoSpaceDN w:val="0"/>
        <w:ind w:left="360" w:right="720"/>
        <w:jc w:val="both"/>
        <w:rPr>
          <w:rFonts w:asciiTheme="minorHAnsi" w:hAnsiTheme="minorHAnsi"/>
          <w:b/>
          <w:color w:val="365F91" w:themeColor="accent1" w:themeShade="BF"/>
          <w:sz w:val="20"/>
          <w:szCs w:val="20"/>
          <w:u w:val="single"/>
        </w:rPr>
      </w:pPr>
      <w:bookmarkStart w:id="2" w:name="_Hlk31615560"/>
    </w:p>
    <w:p w14:paraId="7D65399D" w14:textId="77777777" w:rsidR="00E1182C" w:rsidRDefault="00E1182C" w:rsidP="00744F41">
      <w:pPr>
        <w:pStyle w:val="ListParagraph"/>
        <w:autoSpaceDE w:val="0"/>
        <w:autoSpaceDN w:val="0"/>
        <w:ind w:left="360" w:right="720"/>
        <w:jc w:val="both"/>
        <w:rPr>
          <w:rFonts w:asciiTheme="minorHAnsi" w:hAnsiTheme="minorHAnsi"/>
          <w:b/>
          <w:color w:val="365F91" w:themeColor="accent1" w:themeShade="BF"/>
          <w:sz w:val="20"/>
          <w:szCs w:val="20"/>
          <w:u w:val="single"/>
        </w:rPr>
      </w:pPr>
    </w:p>
    <w:p w14:paraId="7E9E4BA2" w14:textId="2F603126" w:rsidR="00744F41" w:rsidRDefault="00744F41" w:rsidP="00744F41">
      <w:pPr>
        <w:pStyle w:val="ListParagraph"/>
        <w:autoSpaceDE w:val="0"/>
        <w:autoSpaceDN w:val="0"/>
        <w:ind w:left="360" w:right="720"/>
        <w:jc w:val="both"/>
        <w:rPr>
          <w:rFonts w:asciiTheme="minorHAnsi" w:hAnsiTheme="minorHAnsi"/>
          <w:b/>
          <w:color w:val="365F91" w:themeColor="accent1" w:themeShade="BF"/>
          <w:sz w:val="20"/>
          <w:szCs w:val="20"/>
          <w:u w:val="single"/>
        </w:rPr>
      </w:pPr>
      <w:r w:rsidRPr="00744F41">
        <w:rPr>
          <w:rFonts w:asciiTheme="minorHAnsi" w:hAnsiTheme="minorHAnsi"/>
          <w:b/>
          <w:color w:val="365F91" w:themeColor="accent1" w:themeShade="BF"/>
          <w:sz w:val="20"/>
          <w:szCs w:val="20"/>
          <w:u w:val="single"/>
        </w:rPr>
        <w:t xml:space="preserve">ATTACHMENT A  </w:t>
      </w:r>
    </w:p>
    <w:p w14:paraId="184A550D" w14:textId="77777777" w:rsidR="00E1182C" w:rsidRPr="00744F41" w:rsidRDefault="00E1182C" w:rsidP="00744F41">
      <w:pPr>
        <w:pStyle w:val="ListParagraph"/>
        <w:autoSpaceDE w:val="0"/>
        <w:autoSpaceDN w:val="0"/>
        <w:ind w:left="360" w:right="720"/>
        <w:jc w:val="both"/>
        <w:rPr>
          <w:rFonts w:asciiTheme="minorHAnsi" w:hAnsiTheme="minorHAnsi"/>
          <w:b/>
          <w:color w:val="365F91" w:themeColor="accent1" w:themeShade="BF"/>
          <w:sz w:val="20"/>
          <w:szCs w:val="20"/>
          <w:u w:val="single"/>
        </w:rPr>
      </w:pPr>
      <w:bookmarkStart w:id="3" w:name="_GoBack"/>
      <w:bookmarkEnd w:id="3"/>
    </w:p>
    <w:p w14:paraId="19C87366" w14:textId="13600E73" w:rsidR="00744F41" w:rsidRDefault="00744F41" w:rsidP="00744F41">
      <w:pPr>
        <w:pStyle w:val="ListParagraph"/>
        <w:autoSpaceDE w:val="0"/>
        <w:autoSpaceDN w:val="0"/>
        <w:ind w:left="360" w:right="720"/>
        <w:jc w:val="both"/>
        <w:rPr>
          <w:rFonts w:asciiTheme="minorHAnsi" w:hAnsiTheme="minorHAnsi"/>
          <w:bCs/>
          <w:color w:val="365F91" w:themeColor="accent1" w:themeShade="BF"/>
          <w:sz w:val="20"/>
          <w:szCs w:val="20"/>
        </w:rPr>
      </w:pPr>
      <w:r w:rsidRPr="00744F41">
        <w:rPr>
          <w:rFonts w:asciiTheme="minorHAnsi" w:hAnsiTheme="minorHAnsi"/>
          <w:bCs/>
          <w:color w:val="365F91" w:themeColor="accent1" w:themeShade="BF"/>
          <w:sz w:val="20"/>
          <w:szCs w:val="20"/>
        </w:rPr>
        <w:t xml:space="preserve">Equipment and Price (rev.2.11.2020) document </w:t>
      </w:r>
      <w:bookmarkEnd w:id="2"/>
      <w:r w:rsidRPr="00744F41">
        <w:rPr>
          <w:rFonts w:asciiTheme="minorHAnsi" w:hAnsiTheme="minorHAnsi"/>
          <w:bCs/>
          <w:color w:val="365F91" w:themeColor="accent1" w:themeShade="BF"/>
          <w:sz w:val="20"/>
          <w:szCs w:val="20"/>
        </w:rPr>
        <w:t xml:space="preserve">has been edited to reflect the changes </w:t>
      </w:r>
      <w:r w:rsidRPr="00744F41">
        <w:rPr>
          <w:rFonts w:asciiTheme="minorHAnsi" w:hAnsiTheme="minorHAnsi"/>
          <w:color w:val="365F91" w:themeColor="accent1" w:themeShade="BF"/>
          <w:sz w:val="20"/>
          <w:szCs w:val="20"/>
        </w:rPr>
        <w:t xml:space="preserve">to allow </w:t>
      </w:r>
      <w:r w:rsidR="002E77D2" w:rsidRPr="002E77D2">
        <w:rPr>
          <w:rFonts w:asciiTheme="minorHAnsi" w:hAnsiTheme="minorHAnsi"/>
          <w:b/>
          <w:bCs/>
          <w:color w:val="365F91" w:themeColor="accent1" w:themeShade="BF"/>
          <w:sz w:val="20"/>
          <w:szCs w:val="20"/>
        </w:rPr>
        <w:t>equally acceptable to and compatible with the intended use of the specified Trimble Brand GPS Equipment</w:t>
      </w:r>
      <w:r w:rsidR="002E77D2">
        <w:rPr>
          <w:rFonts w:asciiTheme="minorHAnsi" w:hAnsiTheme="minorHAnsi"/>
          <w:b/>
          <w:bCs/>
          <w:color w:val="365F91" w:themeColor="accent1" w:themeShade="BF"/>
          <w:sz w:val="20"/>
          <w:szCs w:val="20"/>
        </w:rPr>
        <w:t xml:space="preserve"> </w:t>
      </w:r>
      <w:r w:rsidRPr="00744F41">
        <w:rPr>
          <w:rFonts w:asciiTheme="minorHAnsi" w:hAnsiTheme="minorHAnsi"/>
          <w:bCs/>
          <w:color w:val="365F91" w:themeColor="accent1" w:themeShade="BF"/>
          <w:sz w:val="20"/>
          <w:szCs w:val="20"/>
        </w:rPr>
        <w:t>included in this Addendum #3.  This revised ATTACHMENT A  Equipment and Price (rev.2.11.2020) document supersedes the previous document and is to be submitted with the Vendor’s Bid</w:t>
      </w:r>
      <w:r>
        <w:rPr>
          <w:rFonts w:asciiTheme="minorHAnsi" w:hAnsiTheme="minorHAnsi"/>
          <w:bCs/>
          <w:color w:val="365F91" w:themeColor="accent1" w:themeShade="BF"/>
          <w:sz w:val="20"/>
          <w:szCs w:val="20"/>
        </w:rPr>
        <w:t>.</w:t>
      </w:r>
    </w:p>
    <w:p w14:paraId="28C5370C" w14:textId="30DD901E" w:rsidR="00066529" w:rsidRPr="00551019" w:rsidRDefault="00066529" w:rsidP="00744F41">
      <w:pPr>
        <w:pStyle w:val="ListParagraph"/>
        <w:autoSpaceDE w:val="0"/>
        <w:autoSpaceDN w:val="0"/>
        <w:ind w:left="360" w:right="720"/>
        <w:jc w:val="both"/>
        <w:rPr>
          <w:rFonts w:asciiTheme="minorHAnsi" w:hAnsiTheme="minorHAnsi"/>
          <w:bCs/>
          <w:color w:val="C00000"/>
          <w:sz w:val="20"/>
          <w:szCs w:val="20"/>
        </w:rPr>
      </w:pPr>
    </w:p>
    <w:p w14:paraId="44E32B4F" w14:textId="5A015F46" w:rsidR="00744F41" w:rsidRDefault="00744F41" w:rsidP="00744F41">
      <w:pPr>
        <w:pStyle w:val="ListParagraph"/>
        <w:ind w:left="0"/>
        <w:rPr>
          <w:rFonts w:asciiTheme="minorHAnsi" w:hAnsiTheme="minorHAnsi"/>
          <w:sz w:val="22"/>
          <w:szCs w:val="22"/>
        </w:rPr>
      </w:pPr>
    </w:p>
    <w:p w14:paraId="21802978" w14:textId="283B98E6" w:rsidR="00916428" w:rsidRDefault="00E94772" w:rsidP="00E94772">
      <w:pPr>
        <w:pStyle w:val="ListParagraph"/>
        <w:numPr>
          <w:ilvl w:val="0"/>
          <w:numId w:val="25"/>
        </w:numPr>
        <w:ind w:left="720"/>
        <w:rPr>
          <w:rFonts w:asciiTheme="minorHAnsi" w:hAnsiTheme="minorHAnsi"/>
          <w:sz w:val="22"/>
          <w:szCs w:val="22"/>
        </w:rPr>
      </w:pPr>
      <w:r w:rsidRPr="00E94772">
        <w:rPr>
          <w:rFonts w:asciiTheme="minorHAnsi" w:hAnsiTheme="minorHAnsi"/>
          <w:sz w:val="22"/>
          <w:szCs w:val="22"/>
        </w:rPr>
        <w:t xml:space="preserve">Is the DOT aware that Leica Geosystems equipment is compatible with all major software platforms?  Is the DOT also aware that the resulting data can even be imported into Trimble proprietary software, and all Leica Geosystems hardware and software is compatible with many CAD software including industry standards like </w:t>
      </w:r>
      <w:proofErr w:type="spellStart"/>
      <w:r w:rsidRPr="00E94772">
        <w:rPr>
          <w:rFonts w:asciiTheme="minorHAnsi" w:hAnsiTheme="minorHAnsi"/>
          <w:sz w:val="22"/>
          <w:szCs w:val="22"/>
        </w:rPr>
        <w:t>AutoDesk</w:t>
      </w:r>
      <w:proofErr w:type="spellEnd"/>
      <w:r w:rsidRPr="00E94772">
        <w:rPr>
          <w:rFonts w:asciiTheme="minorHAnsi" w:hAnsiTheme="minorHAnsi"/>
          <w:sz w:val="22"/>
          <w:szCs w:val="22"/>
        </w:rPr>
        <w:t xml:space="preserve"> Civil3D, and Bentley Inroads?   Will the DOT reissue the IFB to be brand neutral, or at least review submissions of brands with equal or better performance?</w:t>
      </w:r>
    </w:p>
    <w:p w14:paraId="4750B9C0" w14:textId="77777777" w:rsidR="00E94772" w:rsidRDefault="00E94772" w:rsidP="00916428">
      <w:pPr>
        <w:pStyle w:val="ListParagraph"/>
        <w:rPr>
          <w:rFonts w:asciiTheme="minorHAnsi" w:hAnsiTheme="minorHAnsi"/>
          <w:b/>
          <w:color w:val="365F91" w:themeColor="accent1" w:themeShade="BF"/>
          <w:sz w:val="22"/>
          <w:szCs w:val="22"/>
        </w:rPr>
      </w:pPr>
    </w:p>
    <w:p w14:paraId="5B7873A1" w14:textId="62A32D89" w:rsidR="00916428" w:rsidRDefault="00916428" w:rsidP="00916428">
      <w:pPr>
        <w:pStyle w:val="ListParagraph"/>
        <w:rPr>
          <w:rFonts w:asciiTheme="minorHAnsi" w:hAnsiTheme="minorHAnsi"/>
          <w:bCs/>
          <w:color w:val="365F91" w:themeColor="accent1" w:themeShade="BF"/>
          <w:sz w:val="22"/>
          <w:szCs w:val="22"/>
        </w:rPr>
      </w:pPr>
      <w:r w:rsidRPr="00E014D6">
        <w:rPr>
          <w:rFonts w:asciiTheme="minorHAnsi" w:hAnsiTheme="minorHAnsi"/>
          <w:b/>
          <w:color w:val="365F91" w:themeColor="accent1" w:themeShade="BF"/>
          <w:sz w:val="22"/>
          <w:szCs w:val="22"/>
        </w:rPr>
        <w:t>Response</w:t>
      </w:r>
      <w:r w:rsidRPr="00E014D6">
        <w:rPr>
          <w:rFonts w:asciiTheme="minorHAnsi" w:hAnsiTheme="minorHAnsi"/>
          <w:bCs/>
          <w:color w:val="365F91" w:themeColor="accent1" w:themeShade="BF"/>
          <w:sz w:val="22"/>
          <w:szCs w:val="22"/>
        </w:rPr>
        <w:t>:</w:t>
      </w:r>
      <w:r>
        <w:rPr>
          <w:rFonts w:asciiTheme="minorHAnsi" w:hAnsiTheme="minorHAnsi"/>
          <w:bCs/>
          <w:color w:val="365F91" w:themeColor="accent1" w:themeShade="BF"/>
          <w:sz w:val="22"/>
          <w:szCs w:val="22"/>
        </w:rPr>
        <w:t xml:space="preserve">  </w:t>
      </w:r>
      <w:r w:rsidR="00E94772">
        <w:rPr>
          <w:rFonts w:asciiTheme="minorHAnsi" w:hAnsiTheme="minorHAnsi"/>
          <w:bCs/>
          <w:color w:val="365F91" w:themeColor="accent1" w:themeShade="BF"/>
          <w:sz w:val="22"/>
          <w:szCs w:val="22"/>
        </w:rPr>
        <w:t xml:space="preserve">Please refer to this Addendum #3 above </w:t>
      </w:r>
      <w:r w:rsidR="00E94772" w:rsidRPr="00E94772">
        <w:rPr>
          <w:rFonts w:asciiTheme="minorHAnsi" w:hAnsiTheme="minorHAnsi"/>
          <w:bCs/>
          <w:color w:val="C00000"/>
          <w:sz w:val="22"/>
          <w:szCs w:val="22"/>
        </w:rPr>
        <w:t>IMPORTANT NOTE</w:t>
      </w:r>
      <w:r w:rsidR="00E94772">
        <w:rPr>
          <w:rFonts w:asciiTheme="minorHAnsi" w:hAnsiTheme="minorHAnsi"/>
          <w:bCs/>
          <w:color w:val="365F91" w:themeColor="accent1" w:themeShade="BF"/>
          <w:sz w:val="22"/>
          <w:szCs w:val="22"/>
        </w:rPr>
        <w:t>.</w:t>
      </w:r>
    </w:p>
    <w:p w14:paraId="68BC2FD0" w14:textId="77777777" w:rsidR="00916428" w:rsidRPr="00916428" w:rsidRDefault="00916428" w:rsidP="00916428">
      <w:pPr>
        <w:pStyle w:val="ListParagraph"/>
        <w:rPr>
          <w:rFonts w:asciiTheme="minorHAnsi" w:hAnsiTheme="minorHAnsi"/>
          <w:sz w:val="22"/>
          <w:szCs w:val="22"/>
        </w:rPr>
      </w:pPr>
    </w:p>
    <w:p w14:paraId="61BAB496" w14:textId="62AC357D" w:rsidR="00E014D6" w:rsidRPr="00A1716F" w:rsidRDefault="00A1716F" w:rsidP="00A1716F">
      <w:pPr>
        <w:pStyle w:val="ListParagraph"/>
        <w:numPr>
          <w:ilvl w:val="0"/>
          <w:numId w:val="25"/>
        </w:numPr>
        <w:ind w:left="720"/>
        <w:rPr>
          <w:rFonts w:asciiTheme="minorHAnsi" w:hAnsiTheme="minorHAnsi"/>
          <w:sz w:val="22"/>
          <w:szCs w:val="22"/>
        </w:rPr>
      </w:pPr>
      <w:r w:rsidRPr="00A1716F">
        <w:rPr>
          <w:rFonts w:asciiTheme="minorHAnsi" w:hAnsiTheme="minorHAnsi" w:cs="Arial"/>
          <w:sz w:val="22"/>
          <w:szCs w:val="22"/>
        </w:rPr>
        <w:t>District 1 requests 7 Trimble TSC7 Controller Package D’s. This shows they want to trade in T7 tablets. Actually, D1 has T10 tablets so, I want to confirm they plan on trading in their T10 tablets.</w:t>
      </w:r>
    </w:p>
    <w:p w14:paraId="557B2B0A" w14:textId="15F58FC0" w:rsidR="00E014D6" w:rsidRDefault="00E014D6" w:rsidP="00E014D6">
      <w:pPr>
        <w:rPr>
          <w:sz w:val="22"/>
          <w:szCs w:val="22"/>
        </w:rPr>
      </w:pPr>
    </w:p>
    <w:p w14:paraId="5F75E752" w14:textId="76F7E101" w:rsidR="003B5512" w:rsidRDefault="00E014D6" w:rsidP="003B5512">
      <w:pPr>
        <w:ind w:left="720"/>
        <w:rPr>
          <w:rFonts w:asciiTheme="minorHAnsi" w:hAnsiTheme="minorHAnsi"/>
          <w:bCs/>
          <w:color w:val="365F91" w:themeColor="accent1" w:themeShade="BF"/>
          <w:sz w:val="22"/>
          <w:szCs w:val="22"/>
        </w:rPr>
      </w:pPr>
      <w:r w:rsidRPr="00E014D6">
        <w:rPr>
          <w:rFonts w:asciiTheme="minorHAnsi" w:hAnsiTheme="minorHAnsi"/>
          <w:b/>
          <w:color w:val="365F91" w:themeColor="accent1" w:themeShade="BF"/>
          <w:sz w:val="22"/>
          <w:szCs w:val="22"/>
        </w:rPr>
        <w:t>Response</w:t>
      </w:r>
      <w:r w:rsidRPr="00E014D6">
        <w:rPr>
          <w:rFonts w:asciiTheme="minorHAnsi" w:hAnsiTheme="minorHAnsi"/>
          <w:bCs/>
          <w:color w:val="365F91" w:themeColor="accent1" w:themeShade="BF"/>
          <w:sz w:val="22"/>
          <w:szCs w:val="22"/>
        </w:rPr>
        <w:t>:</w:t>
      </w:r>
      <w:r w:rsidRPr="00E014D6">
        <w:rPr>
          <w:bCs/>
        </w:rPr>
        <w:t xml:space="preserve"> </w:t>
      </w:r>
      <w:r w:rsidR="00A1716F" w:rsidRPr="00A1716F">
        <w:rPr>
          <w:rFonts w:asciiTheme="minorHAnsi" w:hAnsiTheme="minorHAnsi"/>
          <w:bCs/>
          <w:color w:val="365F91" w:themeColor="accent1" w:themeShade="BF"/>
          <w:sz w:val="22"/>
          <w:szCs w:val="22"/>
        </w:rPr>
        <w:t>District One anticipates purchasing seven Trimble TSC7 Controller Package D’s.  Note each package D includes, but is not limited to, one new TSC7 controller purchase accompanied with one Trimble T7 tablet trade-in.  Please note, the quantities listed in Attachment A are for contract award purposes only.</w:t>
      </w:r>
    </w:p>
    <w:p w14:paraId="1E7FC84B" w14:textId="2733B280" w:rsidR="00A1716F" w:rsidRDefault="00A1716F" w:rsidP="003B5512">
      <w:pPr>
        <w:ind w:left="720"/>
        <w:rPr>
          <w:i/>
          <w:iCs/>
          <w:sz w:val="22"/>
          <w:szCs w:val="22"/>
        </w:rPr>
      </w:pPr>
    </w:p>
    <w:p w14:paraId="05539665" w14:textId="77777777" w:rsidR="00A1716F" w:rsidRPr="003B5512" w:rsidRDefault="00A1716F" w:rsidP="003B5512">
      <w:pPr>
        <w:ind w:left="720"/>
        <w:rPr>
          <w:i/>
          <w:iCs/>
          <w:sz w:val="22"/>
          <w:szCs w:val="22"/>
        </w:rPr>
      </w:pPr>
    </w:p>
    <w:p w14:paraId="05120501" w14:textId="78CB07C2" w:rsidR="00F76ABE" w:rsidRPr="005D091C" w:rsidRDefault="00F76ABE" w:rsidP="000601CD">
      <w:pPr>
        <w:pStyle w:val="ListParagraph"/>
        <w:autoSpaceDE w:val="0"/>
        <w:autoSpaceDN w:val="0"/>
        <w:jc w:val="both"/>
        <w:rPr>
          <w:rFonts w:asciiTheme="minorHAnsi" w:hAnsiTheme="minorHAnsi" w:cs="Arial"/>
          <w:bCs/>
          <w:color w:val="244061" w:themeColor="accent1" w:themeShade="80"/>
          <w:sz w:val="22"/>
          <w:szCs w:val="22"/>
        </w:rPr>
      </w:pPr>
      <w:r w:rsidRPr="005D091C">
        <w:rPr>
          <w:rFonts w:asciiTheme="minorHAnsi" w:hAnsiTheme="minorHAnsi" w:cs="Arial"/>
          <w:bCs/>
          <w:color w:val="244061" w:themeColor="accent1" w:themeShade="80"/>
          <w:sz w:val="22"/>
          <w:szCs w:val="22"/>
        </w:rPr>
        <w:tab/>
      </w:r>
      <w:bookmarkEnd w:id="0"/>
      <w:bookmarkEnd w:id="1"/>
    </w:p>
    <w:sectPr w:rsidR="00F76ABE" w:rsidRPr="005D091C">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41D48" w14:textId="77777777" w:rsidR="002E77D2" w:rsidRDefault="002E77D2" w:rsidP="007479F7">
      <w:r>
        <w:separator/>
      </w:r>
    </w:p>
  </w:endnote>
  <w:endnote w:type="continuationSeparator" w:id="0">
    <w:p w14:paraId="3A4AF5C5" w14:textId="77777777" w:rsidR="002E77D2" w:rsidRDefault="002E77D2" w:rsidP="0074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CF28F" w14:textId="1018CFDA" w:rsidR="002E77D2" w:rsidRPr="00DD5367" w:rsidRDefault="00E1182C" w:rsidP="00964F73">
    <w:pPr>
      <w:pStyle w:val="Footer"/>
      <w:tabs>
        <w:tab w:val="clear" w:pos="4680"/>
        <w:tab w:val="clear" w:pos="9360"/>
        <w:tab w:val="right" w:pos="8640"/>
      </w:tabs>
      <w:rPr>
        <w:rFonts w:asciiTheme="minorHAnsi" w:hAnsiTheme="minorHAnsi"/>
      </w:rPr>
    </w:pPr>
    <w:sdt>
      <w:sdtPr>
        <w:rPr>
          <w:rFonts w:asciiTheme="minorHAnsi" w:hAnsiTheme="minorHAnsi"/>
        </w:rPr>
        <w:id w:val="-505290761"/>
        <w:docPartObj>
          <w:docPartGallery w:val="Page Numbers (Bottom of Page)"/>
          <w:docPartUnique/>
        </w:docPartObj>
      </w:sdtPr>
      <w:sdtEndPr/>
      <w:sdtContent>
        <w:sdt>
          <w:sdtPr>
            <w:rPr>
              <w:rFonts w:asciiTheme="minorHAnsi" w:hAnsiTheme="minorHAnsi"/>
            </w:rPr>
            <w:id w:val="-2081822883"/>
            <w:docPartObj>
              <w:docPartGallery w:val="Page Numbers (Top of Page)"/>
              <w:docPartUnique/>
            </w:docPartObj>
          </w:sdtPr>
          <w:sdtEndPr/>
          <w:sdtContent>
            <w:r w:rsidR="002E77D2" w:rsidRPr="00DD5367">
              <w:rPr>
                <w:rFonts w:asciiTheme="minorHAnsi" w:hAnsiTheme="minorHAnsi"/>
              </w:rPr>
              <w:t xml:space="preserve">Page </w:t>
            </w:r>
            <w:r w:rsidR="002E77D2" w:rsidRPr="00DD5367">
              <w:rPr>
                <w:rFonts w:asciiTheme="minorHAnsi" w:hAnsiTheme="minorHAnsi"/>
                <w:b/>
                <w:bCs/>
              </w:rPr>
              <w:fldChar w:fldCharType="begin"/>
            </w:r>
            <w:r w:rsidR="002E77D2" w:rsidRPr="00DD5367">
              <w:rPr>
                <w:rFonts w:asciiTheme="minorHAnsi" w:hAnsiTheme="minorHAnsi"/>
                <w:b/>
                <w:bCs/>
              </w:rPr>
              <w:instrText xml:space="preserve"> PAGE </w:instrText>
            </w:r>
            <w:r w:rsidR="002E77D2" w:rsidRPr="00DD5367">
              <w:rPr>
                <w:rFonts w:asciiTheme="minorHAnsi" w:hAnsiTheme="minorHAnsi"/>
                <w:b/>
                <w:bCs/>
              </w:rPr>
              <w:fldChar w:fldCharType="separate"/>
            </w:r>
            <w:r w:rsidR="002E77D2" w:rsidRPr="00DD5367">
              <w:rPr>
                <w:rFonts w:asciiTheme="minorHAnsi" w:hAnsiTheme="minorHAnsi"/>
                <w:b/>
                <w:bCs/>
                <w:noProof/>
              </w:rPr>
              <w:t>1</w:t>
            </w:r>
            <w:r w:rsidR="002E77D2" w:rsidRPr="00DD5367">
              <w:rPr>
                <w:rFonts w:asciiTheme="minorHAnsi" w:hAnsiTheme="minorHAnsi"/>
                <w:b/>
                <w:bCs/>
              </w:rPr>
              <w:fldChar w:fldCharType="end"/>
            </w:r>
            <w:r w:rsidR="002E77D2" w:rsidRPr="00DD5367">
              <w:rPr>
                <w:rFonts w:asciiTheme="minorHAnsi" w:hAnsiTheme="minorHAnsi"/>
              </w:rPr>
              <w:t xml:space="preserve"> of </w:t>
            </w:r>
            <w:r w:rsidR="002E77D2" w:rsidRPr="00DD5367">
              <w:rPr>
                <w:rFonts w:asciiTheme="minorHAnsi" w:hAnsiTheme="minorHAnsi"/>
                <w:b/>
                <w:bCs/>
              </w:rPr>
              <w:fldChar w:fldCharType="begin"/>
            </w:r>
            <w:r w:rsidR="002E77D2" w:rsidRPr="00DD5367">
              <w:rPr>
                <w:rFonts w:asciiTheme="minorHAnsi" w:hAnsiTheme="minorHAnsi"/>
                <w:b/>
                <w:bCs/>
              </w:rPr>
              <w:instrText xml:space="preserve"> NUMPAGES  </w:instrText>
            </w:r>
            <w:r w:rsidR="002E77D2" w:rsidRPr="00DD5367">
              <w:rPr>
                <w:rFonts w:asciiTheme="minorHAnsi" w:hAnsiTheme="minorHAnsi"/>
                <w:b/>
                <w:bCs/>
              </w:rPr>
              <w:fldChar w:fldCharType="separate"/>
            </w:r>
            <w:r w:rsidR="002E77D2" w:rsidRPr="00DD5367">
              <w:rPr>
                <w:rFonts w:asciiTheme="minorHAnsi" w:hAnsiTheme="minorHAnsi"/>
                <w:b/>
                <w:bCs/>
                <w:noProof/>
              </w:rPr>
              <w:t>4</w:t>
            </w:r>
            <w:r w:rsidR="002E77D2" w:rsidRPr="00DD5367">
              <w:rPr>
                <w:rFonts w:asciiTheme="minorHAnsi" w:hAnsiTheme="minorHAnsi"/>
                <w:b/>
                <w:bCs/>
              </w:rPr>
              <w:fldChar w:fldCharType="end"/>
            </w:r>
          </w:sdtContent>
        </w:sdt>
      </w:sdtContent>
    </w:sdt>
    <w:r w:rsidR="002E77D2" w:rsidRPr="00DD5367">
      <w:rPr>
        <w:rFonts w:asciiTheme="minorHAnsi" w:hAnsiTheme="minorHAnsi"/>
      </w:rPr>
      <w:tab/>
    </w:r>
  </w:p>
  <w:p w14:paraId="2B224845" w14:textId="77777777" w:rsidR="002E77D2" w:rsidRDefault="002E7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21183" w14:textId="77777777" w:rsidR="002E77D2" w:rsidRDefault="002E77D2" w:rsidP="007479F7">
      <w:r>
        <w:separator/>
      </w:r>
    </w:p>
  </w:footnote>
  <w:footnote w:type="continuationSeparator" w:id="0">
    <w:p w14:paraId="54222E64" w14:textId="77777777" w:rsidR="002E77D2" w:rsidRDefault="002E77D2" w:rsidP="00747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A6BCE" w14:textId="77777777" w:rsidR="00E1182C" w:rsidRPr="00E1182C" w:rsidRDefault="00E1182C" w:rsidP="00E1182C">
    <w:pPr>
      <w:pStyle w:val="Header"/>
      <w:jc w:val="center"/>
      <w:rPr>
        <w:rFonts w:asciiTheme="minorHAnsi" w:eastAsiaTheme="minorHAnsi" w:hAnsiTheme="minorHAnsi" w:cs="Tahoma"/>
        <w:b/>
        <w:bCs/>
        <w:color w:val="365F91" w:themeColor="accent1" w:themeShade="BF"/>
        <w:sz w:val="40"/>
        <w:szCs w:val="40"/>
      </w:rPr>
    </w:pPr>
    <w:r w:rsidRPr="00E1182C">
      <w:rPr>
        <w:rFonts w:asciiTheme="minorHAnsi" w:eastAsiaTheme="minorHAnsi" w:hAnsiTheme="minorHAnsi" w:cs="Tahoma"/>
        <w:b/>
        <w:bCs/>
        <w:color w:val="365F91" w:themeColor="accent1" w:themeShade="BF"/>
        <w:sz w:val="40"/>
        <w:szCs w:val="40"/>
      </w:rPr>
      <w:t>Trimble Brand GPS Equipment</w:t>
    </w:r>
  </w:p>
  <w:p w14:paraId="1CE02D4A" w14:textId="4402C05C" w:rsidR="00E1182C" w:rsidRPr="00E1182C" w:rsidRDefault="00E1182C" w:rsidP="00E1182C">
    <w:pPr>
      <w:pStyle w:val="Header"/>
      <w:jc w:val="center"/>
      <w:rPr>
        <w:rFonts w:asciiTheme="minorHAnsi" w:eastAsiaTheme="minorHAnsi" w:hAnsiTheme="minorHAnsi" w:cs="Tahoma"/>
        <w:b/>
        <w:bCs/>
        <w:color w:val="365F91" w:themeColor="accent1" w:themeShade="BF"/>
        <w:sz w:val="36"/>
        <w:szCs w:val="36"/>
      </w:rPr>
    </w:pPr>
    <w:r w:rsidRPr="00E1182C">
      <w:rPr>
        <w:rFonts w:asciiTheme="minorHAnsi" w:eastAsiaTheme="minorHAnsi" w:hAnsiTheme="minorHAnsi" w:cs="Tahoma"/>
        <w:b/>
        <w:bCs/>
        <w:color w:val="365F91" w:themeColor="accent1" w:themeShade="BF"/>
        <w:sz w:val="36"/>
        <w:szCs w:val="36"/>
      </w:rPr>
      <w:t>2020-32</w:t>
    </w:r>
  </w:p>
  <w:p w14:paraId="4C598BBF" w14:textId="34E54DCD" w:rsidR="00E1182C" w:rsidRPr="00E1182C" w:rsidRDefault="002E77D2" w:rsidP="007479F7">
    <w:pPr>
      <w:jc w:val="center"/>
      <w:outlineLvl w:val="0"/>
      <w:rPr>
        <w:rFonts w:asciiTheme="minorHAnsi" w:eastAsiaTheme="minorHAnsi" w:hAnsiTheme="minorHAnsi" w:cs="Tahoma"/>
        <w:b/>
        <w:bCs/>
        <w:color w:val="365F91" w:themeColor="accent1" w:themeShade="BF"/>
        <w:sz w:val="32"/>
        <w:szCs w:val="32"/>
      </w:rPr>
    </w:pPr>
    <w:r w:rsidRPr="00E1182C">
      <w:rPr>
        <w:rFonts w:asciiTheme="minorHAnsi" w:eastAsiaTheme="minorHAnsi" w:hAnsiTheme="minorHAnsi" w:cs="Tahoma"/>
        <w:b/>
        <w:bCs/>
        <w:color w:val="365F91" w:themeColor="accent1" w:themeShade="BF"/>
        <w:sz w:val="32"/>
        <w:szCs w:val="32"/>
      </w:rPr>
      <w:t>Addendum #3</w:t>
    </w:r>
  </w:p>
  <w:p w14:paraId="7A32330A" w14:textId="77777777" w:rsidR="002E77D2" w:rsidRPr="00E1182C" w:rsidRDefault="002E77D2" w:rsidP="007479F7">
    <w:pPr>
      <w:jc w:val="center"/>
      <w:outlineLvl w:val="0"/>
      <w:rPr>
        <w:rFonts w:asciiTheme="minorHAnsi" w:eastAsiaTheme="minorHAnsi" w:hAnsiTheme="minorHAnsi" w:cs="Tahoma"/>
        <w:b/>
        <w:bCs/>
        <w:color w:val="365F91" w:themeColor="accent1" w:themeShade="BF"/>
        <w:sz w:val="28"/>
        <w:szCs w:val="28"/>
      </w:rPr>
    </w:pPr>
    <w:r w:rsidRPr="00E1182C">
      <w:rPr>
        <w:rFonts w:asciiTheme="minorHAnsi" w:eastAsiaTheme="minorHAnsi" w:hAnsiTheme="minorHAnsi" w:cs="Tahoma"/>
        <w:b/>
        <w:bCs/>
        <w:color w:val="365F91" w:themeColor="accent1" w:themeShade="BF"/>
        <w:sz w:val="28"/>
        <w:szCs w:val="28"/>
      </w:rPr>
      <w:t>Vendor Questions and IDOT Responses</w:t>
    </w:r>
  </w:p>
  <w:p w14:paraId="72DD1272" w14:textId="17268445" w:rsidR="002E77D2" w:rsidRPr="00E1182C" w:rsidRDefault="002E77D2" w:rsidP="007479F7">
    <w:pPr>
      <w:jc w:val="center"/>
      <w:outlineLvl w:val="0"/>
      <w:rPr>
        <w:rFonts w:asciiTheme="minorHAnsi" w:eastAsiaTheme="minorHAnsi" w:hAnsiTheme="minorHAnsi" w:cs="Tahoma"/>
        <w:b/>
        <w:bCs/>
        <w:color w:val="365F91" w:themeColor="accent1" w:themeShade="BF"/>
        <w:sz w:val="18"/>
        <w:szCs w:val="18"/>
      </w:rPr>
    </w:pPr>
    <w:r w:rsidRPr="00E1182C">
      <w:rPr>
        <w:rFonts w:asciiTheme="minorHAnsi" w:eastAsiaTheme="minorHAnsi" w:hAnsiTheme="minorHAnsi" w:cs="Tahoma"/>
        <w:b/>
        <w:bCs/>
        <w:color w:val="365F91" w:themeColor="accent1" w:themeShade="BF"/>
        <w:sz w:val="18"/>
        <w:szCs w:val="18"/>
      </w:rPr>
      <w:t>(All questions are listed as they were received)</w:t>
    </w:r>
  </w:p>
  <w:p w14:paraId="3BAD1B04" w14:textId="7AF23B05" w:rsidR="00E1182C" w:rsidRPr="00E1182C" w:rsidRDefault="00E1182C" w:rsidP="007479F7">
    <w:pPr>
      <w:jc w:val="center"/>
      <w:outlineLvl w:val="0"/>
      <w:rPr>
        <w:rFonts w:asciiTheme="minorHAnsi" w:eastAsiaTheme="minorHAnsi" w:hAnsiTheme="minorHAnsi" w:cs="Tahoma"/>
        <w:b/>
        <w:bCs/>
        <w:color w:val="365F91" w:themeColor="accent1" w:themeShade="BF"/>
        <w:sz w:val="18"/>
        <w:szCs w:val="18"/>
      </w:rPr>
    </w:pPr>
  </w:p>
  <w:p w14:paraId="39CF3577" w14:textId="59D824DE" w:rsidR="00E1182C" w:rsidRPr="00E1182C" w:rsidRDefault="00E1182C" w:rsidP="007479F7">
    <w:pPr>
      <w:jc w:val="center"/>
      <w:outlineLvl w:val="0"/>
      <w:rPr>
        <w:rFonts w:asciiTheme="minorHAnsi" w:eastAsiaTheme="minorHAnsi" w:hAnsiTheme="minorHAnsi" w:cs="Tahoma"/>
        <w:b/>
        <w:bCs/>
        <w:color w:val="365F91" w:themeColor="accent1" w:themeShade="BF"/>
        <w:sz w:val="28"/>
        <w:szCs w:val="28"/>
      </w:rPr>
    </w:pPr>
    <w:r w:rsidRPr="00E1182C">
      <w:rPr>
        <w:rFonts w:asciiTheme="minorHAnsi" w:eastAsiaTheme="minorHAnsi" w:hAnsiTheme="minorHAnsi" w:cs="Tahoma"/>
        <w:b/>
        <w:bCs/>
        <w:color w:val="365F91" w:themeColor="accent1" w:themeShade="BF"/>
        <w:sz w:val="28"/>
        <w:szCs w:val="28"/>
      </w:rPr>
      <w:t>February 11,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057D0"/>
    <w:multiLevelType w:val="hybridMultilevel"/>
    <w:tmpl w:val="106421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465860"/>
    <w:multiLevelType w:val="hybridMultilevel"/>
    <w:tmpl w:val="03F8A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B669B6"/>
    <w:multiLevelType w:val="hybridMultilevel"/>
    <w:tmpl w:val="FD461E9A"/>
    <w:lvl w:ilvl="0" w:tplc="7B828B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03BFB"/>
    <w:multiLevelType w:val="hybridMultilevel"/>
    <w:tmpl w:val="680E7CF6"/>
    <w:lvl w:ilvl="0" w:tplc="E0245946">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9D04B5"/>
    <w:multiLevelType w:val="hybridMultilevel"/>
    <w:tmpl w:val="7388AE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4D53CC"/>
    <w:multiLevelType w:val="hybridMultilevel"/>
    <w:tmpl w:val="857A1752"/>
    <w:lvl w:ilvl="0" w:tplc="C8B68010">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26244C"/>
    <w:multiLevelType w:val="hybridMultilevel"/>
    <w:tmpl w:val="F2E25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724330"/>
    <w:multiLevelType w:val="multilevel"/>
    <w:tmpl w:val="21922770"/>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328961A7"/>
    <w:multiLevelType w:val="multilevel"/>
    <w:tmpl w:val="2A9E63BC"/>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9" w15:restartNumberingAfterBreak="0">
    <w:nsid w:val="32C039EF"/>
    <w:multiLevelType w:val="multilevel"/>
    <w:tmpl w:val="6ED09066"/>
    <w:lvl w:ilvl="0">
      <w:start w:val="16"/>
      <w:numFmt w:val="decimal"/>
      <w:lvlText w:val="%1.0"/>
      <w:lvlJc w:val="left"/>
      <w:pPr>
        <w:ind w:left="1095" w:hanging="375"/>
      </w:pPr>
      <w:rPr>
        <w:rFonts w:hint="default"/>
        <w:color w:val="auto"/>
      </w:rPr>
    </w:lvl>
    <w:lvl w:ilvl="1">
      <w:start w:val="1"/>
      <w:numFmt w:val="decimal"/>
      <w:lvlText w:val="%1.%2"/>
      <w:lvlJc w:val="left"/>
      <w:pPr>
        <w:ind w:left="1815" w:hanging="375"/>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60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400" w:hanging="1080"/>
      </w:pPr>
      <w:rPr>
        <w:rFonts w:hint="default"/>
        <w:color w:val="auto"/>
      </w:rPr>
    </w:lvl>
    <w:lvl w:ilvl="6">
      <w:start w:val="1"/>
      <w:numFmt w:val="decimal"/>
      <w:lvlText w:val="%1.%2.%3.%4.%5.%6.%7"/>
      <w:lvlJc w:val="left"/>
      <w:pPr>
        <w:ind w:left="6480" w:hanging="1440"/>
      </w:pPr>
      <w:rPr>
        <w:rFonts w:hint="default"/>
        <w:color w:val="auto"/>
      </w:rPr>
    </w:lvl>
    <w:lvl w:ilvl="7">
      <w:start w:val="1"/>
      <w:numFmt w:val="decimal"/>
      <w:lvlText w:val="%1.%2.%3.%4.%5.%6.%7.%8"/>
      <w:lvlJc w:val="left"/>
      <w:pPr>
        <w:ind w:left="7200" w:hanging="1440"/>
      </w:pPr>
      <w:rPr>
        <w:rFonts w:hint="default"/>
        <w:color w:val="auto"/>
      </w:rPr>
    </w:lvl>
    <w:lvl w:ilvl="8">
      <w:start w:val="1"/>
      <w:numFmt w:val="decimal"/>
      <w:lvlText w:val="%1.%2.%3.%4.%5.%6.%7.%8.%9"/>
      <w:lvlJc w:val="left"/>
      <w:pPr>
        <w:ind w:left="7920" w:hanging="1440"/>
      </w:pPr>
      <w:rPr>
        <w:rFonts w:hint="default"/>
        <w:color w:val="auto"/>
      </w:rPr>
    </w:lvl>
  </w:abstractNum>
  <w:abstractNum w:abstractNumId="10" w15:restartNumberingAfterBreak="0">
    <w:nsid w:val="35C86EDC"/>
    <w:multiLevelType w:val="hybridMultilevel"/>
    <w:tmpl w:val="83888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8026545"/>
    <w:multiLevelType w:val="hybridMultilevel"/>
    <w:tmpl w:val="E9782382"/>
    <w:lvl w:ilvl="0" w:tplc="BE38F28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56454C9C"/>
    <w:multiLevelType w:val="hybridMultilevel"/>
    <w:tmpl w:val="9E4C7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8E5EB0"/>
    <w:multiLevelType w:val="hybridMultilevel"/>
    <w:tmpl w:val="193A40AA"/>
    <w:lvl w:ilvl="0" w:tplc="0944BE3E">
      <w:start w:val="11"/>
      <w:numFmt w:val="decimal"/>
      <w:lvlText w:val="%1."/>
      <w:lvlJc w:val="left"/>
      <w:pPr>
        <w:ind w:left="720" w:hanging="360"/>
      </w:pPr>
      <w:rPr>
        <w:rFonts w:hint="default"/>
        <w:b w:val="0"/>
        <w:strike w:val="0"/>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6" w15:restartNumberingAfterBreak="0">
    <w:nsid w:val="59FB29F7"/>
    <w:multiLevelType w:val="hybridMultilevel"/>
    <w:tmpl w:val="818C811A"/>
    <w:lvl w:ilvl="0" w:tplc="47CA8B7C">
      <w:start w:val="5"/>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8B60C2"/>
    <w:multiLevelType w:val="hybridMultilevel"/>
    <w:tmpl w:val="16C85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76A4C"/>
    <w:multiLevelType w:val="hybridMultilevel"/>
    <w:tmpl w:val="02108E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2614E8"/>
    <w:multiLevelType w:val="hybridMultilevel"/>
    <w:tmpl w:val="6B528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E6C676D"/>
    <w:multiLevelType w:val="hybridMultilevel"/>
    <w:tmpl w:val="7DA80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2B67D9"/>
    <w:multiLevelType w:val="hybridMultilevel"/>
    <w:tmpl w:val="D8A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9C62BA"/>
    <w:multiLevelType w:val="multilevel"/>
    <w:tmpl w:val="92728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CE72A8"/>
    <w:multiLevelType w:val="hybridMultilevel"/>
    <w:tmpl w:val="DCCC1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13"/>
  </w:num>
  <w:num w:numId="3">
    <w:abstractNumId w:val="16"/>
  </w:num>
  <w:num w:numId="4">
    <w:abstractNumId w:val="12"/>
  </w:num>
  <w:num w:numId="5">
    <w:abstractNumId w:val="15"/>
  </w:num>
  <w:num w:numId="6">
    <w:abstractNumId w:val="17"/>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1"/>
  </w:num>
  <w:num w:numId="11">
    <w:abstractNumId w:val="6"/>
  </w:num>
  <w:num w:numId="12">
    <w:abstractNumId w:val="2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8"/>
  </w:num>
  <w:num w:numId="19">
    <w:abstractNumId w:val="7"/>
  </w:num>
  <w:num w:numId="20">
    <w:abstractNumId w:val="11"/>
  </w:num>
  <w:num w:numId="21">
    <w:abstractNumId w:val="9"/>
  </w:num>
  <w:num w:numId="22">
    <w:abstractNumId w:val="4"/>
  </w:num>
  <w:num w:numId="23">
    <w:abstractNumId w:val="18"/>
  </w:num>
  <w:num w:numId="24">
    <w:abstractNumId w:val="23"/>
  </w:num>
  <w:num w:numId="25">
    <w:abstractNumId w:val="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B2"/>
    <w:rsid w:val="00014934"/>
    <w:rsid w:val="000238FC"/>
    <w:rsid w:val="00023BCE"/>
    <w:rsid w:val="00025411"/>
    <w:rsid w:val="0005431B"/>
    <w:rsid w:val="000601CD"/>
    <w:rsid w:val="00066529"/>
    <w:rsid w:val="00077865"/>
    <w:rsid w:val="00083FFB"/>
    <w:rsid w:val="000866AE"/>
    <w:rsid w:val="000A25CD"/>
    <w:rsid w:val="000B2BD8"/>
    <w:rsid w:val="000C0C7E"/>
    <w:rsid w:val="000E152D"/>
    <w:rsid w:val="000E401E"/>
    <w:rsid w:val="00121E10"/>
    <w:rsid w:val="00131A2A"/>
    <w:rsid w:val="00192CD4"/>
    <w:rsid w:val="00194218"/>
    <w:rsid w:val="001B0FFD"/>
    <w:rsid w:val="001B3E99"/>
    <w:rsid w:val="001D475C"/>
    <w:rsid w:val="001D7E35"/>
    <w:rsid w:val="001F49A7"/>
    <w:rsid w:val="001F5935"/>
    <w:rsid w:val="00213172"/>
    <w:rsid w:val="00216CCD"/>
    <w:rsid w:val="002515E3"/>
    <w:rsid w:val="0025218A"/>
    <w:rsid w:val="00260FB7"/>
    <w:rsid w:val="002B58DC"/>
    <w:rsid w:val="002C72A8"/>
    <w:rsid w:val="002D7BA0"/>
    <w:rsid w:val="002E77D2"/>
    <w:rsid w:val="002F77D9"/>
    <w:rsid w:val="00340D25"/>
    <w:rsid w:val="00356A0B"/>
    <w:rsid w:val="00371A70"/>
    <w:rsid w:val="0037329B"/>
    <w:rsid w:val="00380020"/>
    <w:rsid w:val="003842E7"/>
    <w:rsid w:val="003849F3"/>
    <w:rsid w:val="003B0B88"/>
    <w:rsid w:val="003B5512"/>
    <w:rsid w:val="003C37C7"/>
    <w:rsid w:val="003D3101"/>
    <w:rsid w:val="00406418"/>
    <w:rsid w:val="00426DD7"/>
    <w:rsid w:val="00442452"/>
    <w:rsid w:val="004431BD"/>
    <w:rsid w:val="00447257"/>
    <w:rsid w:val="0047489A"/>
    <w:rsid w:val="00490FD6"/>
    <w:rsid w:val="004B069A"/>
    <w:rsid w:val="004B2F84"/>
    <w:rsid w:val="004B5DC4"/>
    <w:rsid w:val="004D2D32"/>
    <w:rsid w:val="004D3703"/>
    <w:rsid w:val="004E1EAA"/>
    <w:rsid w:val="004E471D"/>
    <w:rsid w:val="004E49FB"/>
    <w:rsid w:val="005010CF"/>
    <w:rsid w:val="00502403"/>
    <w:rsid w:val="00531B23"/>
    <w:rsid w:val="00535E0E"/>
    <w:rsid w:val="00543C02"/>
    <w:rsid w:val="00544A60"/>
    <w:rsid w:val="00545391"/>
    <w:rsid w:val="00550E55"/>
    <w:rsid w:val="00551019"/>
    <w:rsid w:val="00582EBB"/>
    <w:rsid w:val="005D091C"/>
    <w:rsid w:val="005F4F05"/>
    <w:rsid w:val="005F5E3D"/>
    <w:rsid w:val="0063488C"/>
    <w:rsid w:val="00646F18"/>
    <w:rsid w:val="00657633"/>
    <w:rsid w:val="00686755"/>
    <w:rsid w:val="006874C8"/>
    <w:rsid w:val="006A1814"/>
    <w:rsid w:val="006B0D23"/>
    <w:rsid w:val="006D0F6C"/>
    <w:rsid w:val="006D1709"/>
    <w:rsid w:val="00707DEF"/>
    <w:rsid w:val="007224A9"/>
    <w:rsid w:val="00736B2B"/>
    <w:rsid w:val="00744F41"/>
    <w:rsid w:val="007479F7"/>
    <w:rsid w:val="00786E67"/>
    <w:rsid w:val="007C54B4"/>
    <w:rsid w:val="007C5CD7"/>
    <w:rsid w:val="007D4237"/>
    <w:rsid w:val="007E396D"/>
    <w:rsid w:val="00807C55"/>
    <w:rsid w:val="00812894"/>
    <w:rsid w:val="00815B47"/>
    <w:rsid w:val="00824140"/>
    <w:rsid w:val="00826A96"/>
    <w:rsid w:val="00840641"/>
    <w:rsid w:val="0086085A"/>
    <w:rsid w:val="00861D7E"/>
    <w:rsid w:val="0086661D"/>
    <w:rsid w:val="00893A93"/>
    <w:rsid w:val="00897DAE"/>
    <w:rsid w:val="008A5686"/>
    <w:rsid w:val="008C3798"/>
    <w:rsid w:val="008D342B"/>
    <w:rsid w:val="008D3491"/>
    <w:rsid w:val="008D355B"/>
    <w:rsid w:val="008D41B2"/>
    <w:rsid w:val="008E0DE9"/>
    <w:rsid w:val="008E262D"/>
    <w:rsid w:val="008E6B1F"/>
    <w:rsid w:val="008E74C7"/>
    <w:rsid w:val="00905DD5"/>
    <w:rsid w:val="00916428"/>
    <w:rsid w:val="00934AED"/>
    <w:rsid w:val="0094746B"/>
    <w:rsid w:val="00950CF5"/>
    <w:rsid w:val="00964F73"/>
    <w:rsid w:val="009813E5"/>
    <w:rsid w:val="009837F9"/>
    <w:rsid w:val="00995A8B"/>
    <w:rsid w:val="009E68DB"/>
    <w:rsid w:val="00A10F19"/>
    <w:rsid w:val="00A13215"/>
    <w:rsid w:val="00A16DB7"/>
    <w:rsid w:val="00A1716F"/>
    <w:rsid w:val="00A2614E"/>
    <w:rsid w:val="00A66B1D"/>
    <w:rsid w:val="00A720A1"/>
    <w:rsid w:val="00A947C2"/>
    <w:rsid w:val="00A97CE1"/>
    <w:rsid w:val="00AB1F57"/>
    <w:rsid w:val="00AC295E"/>
    <w:rsid w:val="00AD3051"/>
    <w:rsid w:val="00AE01D4"/>
    <w:rsid w:val="00B123D3"/>
    <w:rsid w:val="00B1451B"/>
    <w:rsid w:val="00B17265"/>
    <w:rsid w:val="00B2505C"/>
    <w:rsid w:val="00B41D8F"/>
    <w:rsid w:val="00B44DB0"/>
    <w:rsid w:val="00B56610"/>
    <w:rsid w:val="00B61BC1"/>
    <w:rsid w:val="00B8220C"/>
    <w:rsid w:val="00B84806"/>
    <w:rsid w:val="00B85F80"/>
    <w:rsid w:val="00BA5239"/>
    <w:rsid w:val="00BB2BBA"/>
    <w:rsid w:val="00BC4428"/>
    <w:rsid w:val="00BC7554"/>
    <w:rsid w:val="00BD0B14"/>
    <w:rsid w:val="00C047A2"/>
    <w:rsid w:val="00C249BE"/>
    <w:rsid w:val="00C33424"/>
    <w:rsid w:val="00C34181"/>
    <w:rsid w:val="00C52747"/>
    <w:rsid w:val="00C5529F"/>
    <w:rsid w:val="00C65A0E"/>
    <w:rsid w:val="00CC3641"/>
    <w:rsid w:val="00CC7AAC"/>
    <w:rsid w:val="00CE2809"/>
    <w:rsid w:val="00CE7915"/>
    <w:rsid w:val="00D00195"/>
    <w:rsid w:val="00D04CDA"/>
    <w:rsid w:val="00D1698F"/>
    <w:rsid w:val="00D33B27"/>
    <w:rsid w:val="00D4415C"/>
    <w:rsid w:val="00D4493D"/>
    <w:rsid w:val="00D53CE6"/>
    <w:rsid w:val="00D64A5E"/>
    <w:rsid w:val="00D7029A"/>
    <w:rsid w:val="00DA2D8B"/>
    <w:rsid w:val="00DA33B0"/>
    <w:rsid w:val="00DC4F43"/>
    <w:rsid w:val="00DD5367"/>
    <w:rsid w:val="00DE6DFC"/>
    <w:rsid w:val="00E014D6"/>
    <w:rsid w:val="00E01CBA"/>
    <w:rsid w:val="00E1182C"/>
    <w:rsid w:val="00E24D19"/>
    <w:rsid w:val="00E27736"/>
    <w:rsid w:val="00E51613"/>
    <w:rsid w:val="00E67E2E"/>
    <w:rsid w:val="00E91882"/>
    <w:rsid w:val="00E94772"/>
    <w:rsid w:val="00ED1F12"/>
    <w:rsid w:val="00ED558D"/>
    <w:rsid w:val="00EE4D84"/>
    <w:rsid w:val="00F20BFA"/>
    <w:rsid w:val="00F27FD6"/>
    <w:rsid w:val="00F358D7"/>
    <w:rsid w:val="00F47832"/>
    <w:rsid w:val="00F60B69"/>
    <w:rsid w:val="00F617B7"/>
    <w:rsid w:val="00F76ABE"/>
    <w:rsid w:val="00F76FC2"/>
    <w:rsid w:val="00F80EB8"/>
    <w:rsid w:val="00F81248"/>
    <w:rsid w:val="00F84399"/>
    <w:rsid w:val="00F86FD6"/>
    <w:rsid w:val="00F936E8"/>
    <w:rsid w:val="00F97378"/>
    <w:rsid w:val="00FA0DE9"/>
    <w:rsid w:val="00FA2BAF"/>
    <w:rsid w:val="00FC4A4C"/>
    <w:rsid w:val="00FD02BC"/>
    <w:rsid w:val="00FD1D0F"/>
    <w:rsid w:val="00FF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C039D4F"/>
  <w15:docId w15:val="{1CCC60A2-F4ED-4AEA-99D8-32857FCB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3C02"/>
    <w:pPr>
      <w:ind w:left="720"/>
      <w:contextualSpacing/>
    </w:pPr>
  </w:style>
  <w:style w:type="table" w:styleId="TableGrid">
    <w:name w:val="Table Grid"/>
    <w:basedOn w:val="TableNormal"/>
    <w:uiPriority w:val="39"/>
    <w:rsid w:val="00E01CBA"/>
    <w:rPr>
      <w:rFonts w:ascii="Calibri" w:hAnsi="Calibr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E01CBA"/>
    <w:rPr>
      <w:rFonts w:ascii="Tahoma" w:hAnsi="Tahoma" w:cs="Tahoma"/>
      <w:sz w:val="16"/>
      <w:szCs w:val="16"/>
    </w:rPr>
  </w:style>
  <w:style w:type="character" w:customStyle="1" w:styleId="BalloonTextChar">
    <w:name w:val="Balloon Text Char"/>
    <w:basedOn w:val="DefaultParagraphFont"/>
    <w:link w:val="BalloonText"/>
    <w:rsid w:val="00E01CBA"/>
    <w:rPr>
      <w:rFonts w:ascii="Tahoma" w:hAnsi="Tahoma" w:cs="Tahoma"/>
      <w:sz w:val="16"/>
      <w:szCs w:val="16"/>
    </w:rPr>
  </w:style>
  <w:style w:type="paragraph" w:styleId="Header">
    <w:name w:val="header"/>
    <w:basedOn w:val="Normal"/>
    <w:link w:val="HeaderChar"/>
    <w:rsid w:val="007479F7"/>
    <w:pPr>
      <w:tabs>
        <w:tab w:val="center" w:pos="4680"/>
        <w:tab w:val="right" w:pos="9360"/>
      </w:tabs>
    </w:pPr>
  </w:style>
  <w:style w:type="character" w:customStyle="1" w:styleId="HeaderChar">
    <w:name w:val="Header Char"/>
    <w:basedOn w:val="DefaultParagraphFont"/>
    <w:link w:val="Header"/>
    <w:rsid w:val="007479F7"/>
    <w:rPr>
      <w:sz w:val="24"/>
      <w:szCs w:val="24"/>
    </w:rPr>
  </w:style>
  <w:style w:type="paragraph" w:styleId="Footer">
    <w:name w:val="footer"/>
    <w:basedOn w:val="Normal"/>
    <w:link w:val="FooterChar"/>
    <w:uiPriority w:val="99"/>
    <w:rsid w:val="007479F7"/>
    <w:pPr>
      <w:tabs>
        <w:tab w:val="center" w:pos="4680"/>
        <w:tab w:val="right" w:pos="9360"/>
      </w:tabs>
    </w:pPr>
  </w:style>
  <w:style w:type="character" w:customStyle="1" w:styleId="FooterChar">
    <w:name w:val="Footer Char"/>
    <w:basedOn w:val="DefaultParagraphFont"/>
    <w:link w:val="Footer"/>
    <w:uiPriority w:val="99"/>
    <w:rsid w:val="007479F7"/>
    <w:rPr>
      <w:sz w:val="24"/>
      <w:szCs w:val="24"/>
    </w:rPr>
  </w:style>
  <w:style w:type="character" w:styleId="Hyperlink">
    <w:name w:val="Hyperlink"/>
    <w:basedOn w:val="DefaultParagraphFont"/>
    <w:unhideWhenUsed/>
    <w:rsid w:val="000C0C7E"/>
    <w:rPr>
      <w:color w:val="0000FF" w:themeColor="hyperlink"/>
      <w:u w:val="single"/>
    </w:rPr>
  </w:style>
  <w:style w:type="character" w:styleId="UnresolvedMention">
    <w:name w:val="Unresolved Mention"/>
    <w:basedOn w:val="DefaultParagraphFont"/>
    <w:uiPriority w:val="99"/>
    <w:semiHidden/>
    <w:unhideWhenUsed/>
    <w:rsid w:val="000C0C7E"/>
    <w:rPr>
      <w:color w:val="808080"/>
      <w:shd w:val="clear" w:color="auto" w:fill="E6E6E6"/>
    </w:rPr>
  </w:style>
  <w:style w:type="character" w:customStyle="1" w:styleId="Style10">
    <w:name w:val="Style 10"/>
    <w:basedOn w:val="DefaultParagraphFont"/>
    <w:uiPriority w:val="1"/>
    <w:rsid w:val="000C0C7E"/>
    <w:rPr>
      <w:rFonts w:ascii="Calibri" w:hAnsi="Calibri" w:hint="default"/>
    </w:rPr>
  </w:style>
  <w:style w:type="character" w:customStyle="1" w:styleId="Style3">
    <w:name w:val="Style3"/>
    <w:basedOn w:val="DefaultParagraphFont"/>
    <w:uiPriority w:val="1"/>
    <w:rsid w:val="000C0C7E"/>
    <w:rPr>
      <w:rFonts w:ascii="Calibri" w:hAnsi="Calibri" w:hint="default"/>
    </w:rPr>
  </w:style>
  <w:style w:type="paragraph" w:styleId="Quote">
    <w:name w:val="Quote"/>
    <w:basedOn w:val="Normal"/>
    <w:next w:val="Normal"/>
    <w:link w:val="QuoteChar"/>
    <w:uiPriority w:val="29"/>
    <w:qFormat/>
    <w:rsid w:val="006D170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D1709"/>
    <w:rPr>
      <w:i/>
      <w:iCs/>
      <w:color w:val="404040" w:themeColor="text1" w:themeTint="BF"/>
      <w:sz w:val="24"/>
      <w:szCs w:val="24"/>
    </w:rPr>
  </w:style>
  <w:style w:type="character" w:customStyle="1" w:styleId="ListParagraphChar">
    <w:name w:val="List Paragraph Char"/>
    <w:basedOn w:val="DefaultParagraphFont"/>
    <w:link w:val="ListParagraph"/>
    <w:uiPriority w:val="34"/>
    <w:locked/>
    <w:rsid w:val="00C34181"/>
    <w:rPr>
      <w:sz w:val="24"/>
      <w:szCs w:val="24"/>
    </w:rPr>
  </w:style>
  <w:style w:type="character" w:styleId="FollowedHyperlink">
    <w:name w:val="FollowedHyperlink"/>
    <w:basedOn w:val="DefaultParagraphFont"/>
    <w:semiHidden/>
    <w:unhideWhenUsed/>
    <w:rsid w:val="00BA5239"/>
    <w:rPr>
      <w:color w:val="800080" w:themeColor="followedHyperlink"/>
      <w:u w:val="single"/>
    </w:rPr>
  </w:style>
  <w:style w:type="character" w:styleId="CommentReference">
    <w:name w:val="annotation reference"/>
    <w:basedOn w:val="DefaultParagraphFont"/>
    <w:semiHidden/>
    <w:unhideWhenUsed/>
    <w:rsid w:val="000E152D"/>
    <w:rPr>
      <w:sz w:val="16"/>
      <w:szCs w:val="16"/>
    </w:rPr>
  </w:style>
  <w:style w:type="paragraph" w:styleId="CommentText">
    <w:name w:val="annotation text"/>
    <w:basedOn w:val="Normal"/>
    <w:link w:val="CommentTextChar"/>
    <w:semiHidden/>
    <w:unhideWhenUsed/>
    <w:rsid w:val="000E152D"/>
    <w:rPr>
      <w:sz w:val="20"/>
      <w:szCs w:val="20"/>
    </w:rPr>
  </w:style>
  <w:style w:type="character" w:customStyle="1" w:styleId="CommentTextChar">
    <w:name w:val="Comment Text Char"/>
    <w:basedOn w:val="DefaultParagraphFont"/>
    <w:link w:val="CommentText"/>
    <w:semiHidden/>
    <w:rsid w:val="000E152D"/>
  </w:style>
  <w:style w:type="paragraph" w:styleId="CommentSubject">
    <w:name w:val="annotation subject"/>
    <w:basedOn w:val="CommentText"/>
    <w:next w:val="CommentText"/>
    <w:link w:val="CommentSubjectChar"/>
    <w:semiHidden/>
    <w:unhideWhenUsed/>
    <w:rsid w:val="000E152D"/>
    <w:rPr>
      <w:b/>
      <w:bCs/>
    </w:rPr>
  </w:style>
  <w:style w:type="character" w:customStyle="1" w:styleId="CommentSubjectChar">
    <w:name w:val="Comment Subject Char"/>
    <w:basedOn w:val="CommentTextChar"/>
    <w:link w:val="CommentSubject"/>
    <w:semiHidden/>
    <w:rsid w:val="000E152D"/>
    <w:rPr>
      <w:b/>
      <w:bCs/>
    </w:rPr>
  </w:style>
  <w:style w:type="numbering" w:customStyle="1" w:styleId="Style71">
    <w:name w:val="Style71"/>
    <w:uiPriority w:val="99"/>
    <w:rsid w:val="00686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0442">
      <w:bodyDiv w:val="1"/>
      <w:marLeft w:val="0"/>
      <w:marRight w:val="0"/>
      <w:marTop w:val="0"/>
      <w:marBottom w:val="0"/>
      <w:divBdr>
        <w:top w:val="none" w:sz="0" w:space="0" w:color="auto"/>
        <w:left w:val="none" w:sz="0" w:space="0" w:color="auto"/>
        <w:bottom w:val="none" w:sz="0" w:space="0" w:color="auto"/>
        <w:right w:val="none" w:sz="0" w:space="0" w:color="auto"/>
      </w:divBdr>
    </w:div>
    <w:div w:id="11146682">
      <w:bodyDiv w:val="1"/>
      <w:marLeft w:val="0"/>
      <w:marRight w:val="0"/>
      <w:marTop w:val="0"/>
      <w:marBottom w:val="0"/>
      <w:divBdr>
        <w:top w:val="none" w:sz="0" w:space="0" w:color="auto"/>
        <w:left w:val="none" w:sz="0" w:space="0" w:color="auto"/>
        <w:bottom w:val="none" w:sz="0" w:space="0" w:color="auto"/>
        <w:right w:val="none" w:sz="0" w:space="0" w:color="auto"/>
      </w:divBdr>
    </w:div>
    <w:div w:id="47188090">
      <w:bodyDiv w:val="1"/>
      <w:marLeft w:val="0"/>
      <w:marRight w:val="0"/>
      <w:marTop w:val="0"/>
      <w:marBottom w:val="0"/>
      <w:divBdr>
        <w:top w:val="none" w:sz="0" w:space="0" w:color="auto"/>
        <w:left w:val="none" w:sz="0" w:space="0" w:color="auto"/>
        <w:bottom w:val="none" w:sz="0" w:space="0" w:color="auto"/>
        <w:right w:val="none" w:sz="0" w:space="0" w:color="auto"/>
      </w:divBdr>
    </w:div>
    <w:div w:id="112939902">
      <w:bodyDiv w:val="1"/>
      <w:marLeft w:val="0"/>
      <w:marRight w:val="0"/>
      <w:marTop w:val="0"/>
      <w:marBottom w:val="0"/>
      <w:divBdr>
        <w:top w:val="none" w:sz="0" w:space="0" w:color="auto"/>
        <w:left w:val="none" w:sz="0" w:space="0" w:color="auto"/>
        <w:bottom w:val="none" w:sz="0" w:space="0" w:color="auto"/>
        <w:right w:val="none" w:sz="0" w:space="0" w:color="auto"/>
      </w:divBdr>
    </w:div>
    <w:div w:id="144396639">
      <w:bodyDiv w:val="1"/>
      <w:marLeft w:val="0"/>
      <w:marRight w:val="0"/>
      <w:marTop w:val="0"/>
      <w:marBottom w:val="0"/>
      <w:divBdr>
        <w:top w:val="none" w:sz="0" w:space="0" w:color="auto"/>
        <w:left w:val="none" w:sz="0" w:space="0" w:color="auto"/>
        <w:bottom w:val="none" w:sz="0" w:space="0" w:color="auto"/>
        <w:right w:val="none" w:sz="0" w:space="0" w:color="auto"/>
      </w:divBdr>
    </w:div>
    <w:div w:id="197667914">
      <w:bodyDiv w:val="1"/>
      <w:marLeft w:val="0"/>
      <w:marRight w:val="0"/>
      <w:marTop w:val="0"/>
      <w:marBottom w:val="0"/>
      <w:divBdr>
        <w:top w:val="none" w:sz="0" w:space="0" w:color="auto"/>
        <w:left w:val="none" w:sz="0" w:space="0" w:color="auto"/>
        <w:bottom w:val="none" w:sz="0" w:space="0" w:color="auto"/>
        <w:right w:val="none" w:sz="0" w:space="0" w:color="auto"/>
      </w:divBdr>
    </w:div>
    <w:div w:id="259921990">
      <w:bodyDiv w:val="1"/>
      <w:marLeft w:val="0"/>
      <w:marRight w:val="0"/>
      <w:marTop w:val="0"/>
      <w:marBottom w:val="0"/>
      <w:divBdr>
        <w:top w:val="none" w:sz="0" w:space="0" w:color="auto"/>
        <w:left w:val="none" w:sz="0" w:space="0" w:color="auto"/>
        <w:bottom w:val="none" w:sz="0" w:space="0" w:color="auto"/>
        <w:right w:val="none" w:sz="0" w:space="0" w:color="auto"/>
      </w:divBdr>
    </w:div>
    <w:div w:id="262031847">
      <w:bodyDiv w:val="1"/>
      <w:marLeft w:val="0"/>
      <w:marRight w:val="0"/>
      <w:marTop w:val="0"/>
      <w:marBottom w:val="0"/>
      <w:divBdr>
        <w:top w:val="none" w:sz="0" w:space="0" w:color="auto"/>
        <w:left w:val="none" w:sz="0" w:space="0" w:color="auto"/>
        <w:bottom w:val="none" w:sz="0" w:space="0" w:color="auto"/>
        <w:right w:val="none" w:sz="0" w:space="0" w:color="auto"/>
      </w:divBdr>
    </w:div>
    <w:div w:id="329142511">
      <w:bodyDiv w:val="1"/>
      <w:marLeft w:val="0"/>
      <w:marRight w:val="0"/>
      <w:marTop w:val="0"/>
      <w:marBottom w:val="0"/>
      <w:divBdr>
        <w:top w:val="none" w:sz="0" w:space="0" w:color="auto"/>
        <w:left w:val="none" w:sz="0" w:space="0" w:color="auto"/>
        <w:bottom w:val="none" w:sz="0" w:space="0" w:color="auto"/>
        <w:right w:val="none" w:sz="0" w:space="0" w:color="auto"/>
      </w:divBdr>
    </w:div>
    <w:div w:id="569847564">
      <w:bodyDiv w:val="1"/>
      <w:marLeft w:val="0"/>
      <w:marRight w:val="0"/>
      <w:marTop w:val="0"/>
      <w:marBottom w:val="0"/>
      <w:divBdr>
        <w:top w:val="none" w:sz="0" w:space="0" w:color="auto"/>
        <w:left w:val="none" w:sz="0" w:space="0" w:color="auto"/>
        <w:bottom w:val="none" w:sz="0" w:space="0" w:color="auto"/>
        <w:right w:val="none" w:sz="0" w:space="0" w:color="auto"/>
      </w:divBdr>
    </w:div>
    <w:div w:id="589777079">
      <w:bodyDiv w:val="1"/>
      <w:marLeft w:val="0"/>
      <w:marRight w:val="0"/>
      <w:marTop w:val="0"/>
      <w:marBottom w:val="0"/>
      <w:divBdr>
        <w:top w:val="none" w:sz="0" w:space="0" w:color="auto"/>
        <w:left w:val="none" w:sz="0" w:space="0" w:color="auto"/>
        <w:bottom w:val="none" w:sz="0" w:space="0" w:color="auto"/>
        <w:right w:val="none" w:sz="0" w:space="0" w:color="auto"/>
      </w:divBdr>
    </w:div>
    <w:div w:id="641470808">
      <w:bodyDiv w:val="1"/>
      <w:marLeft w:val="0"/>
      <w:marRight w:val="0"/>
      <w:marTop w:val="0"/>
      <w:marBottom w:val="0"/>
      <w:divBdr>
        <w:top w:val="none" w:sz="0" w:space="0" w:color="auto"/>
        <w:left w:val="none" w:sz="0" w:space="0" w:color="auto"/>
        <w:bottom w:val="none" w:sz="0" w:space="0" w:color="auto"/>
        <w:right w:val="none" w:sz="0" w:space="0" w:color="auto"/>
      </w:divBdr>
    </w:div>
    <w:div w:id="848914270">
      <w:bodyDiv w:val="1"/>
      <w:marLeft w:val="0"/>
      <w:marRight w:val="0"/>
      <w:marTop w:val="0"/>
      <w:marBottom w:val="0"/>
      <w:divBdr>
        <w:top w:val="none" w:sz="0" w:space="0" w:color="auto"/>
        <w:left w:val="none" w:sz="0" w:space="0" w:color="auto"/>
        <w:bottom w:val="none" w:sz="0" w:space="0" w:color="auto"/>
        <w:right w:val="none" w:sz="0" w:space="0" w:color="auto"/>
      </w:divBdr>
    </w:div>
    <w:div w:id="963077753">
      <w:bodyDiv w:val="1"/>
      <w:marLeft w:val="0"/>
      <w:marRight w:val="0"/>
      <w:marTop w:val="0"/>
      <w:marBottom w:val="0"/>
      <w:divBdr>
        <w:top w:val="none" w:sz="0" w:space="0" w:color="auto"/>
        <w:left w:val="none" w:sz="0" w:space="0" w:color="auto"/>
        <w:bottom w:val="none" w:sz="0" w:space="0" w:color="auto"/>
        <w:right w:val="none" w:sz="0" w:space="0" w:color="auto"/>
      </w:divBdr>
    </w:div>
    <w:div w:id="1066026106">
      <w:bodyDiv w:val="1"/>
      <w:marLeft w:val="0"/>
      <w:marRight w:val="0"/>
      <w:marTop w:val="0"/>
      <w:marBottom w:val="0"/>
      <w:divBdr>
        <w:top w:val="none" w:sz="0" w:space="0" w:color="auto"/>
        <w:left w:val="none" w:sz="0" w:space="0" w:color="auto"/>
        <w:bottom w:val="none" w:sz="0" w:space="0" w:color="auto"/>
        <w:right w:val="none" w:sz="0" w:space="0" w:color="auto"/>
      </w:divBdr>
    </w:div>
    <w:div w:id="1130704044">
      <w:bodyDiv w:val="1"/>
      <w:marLeft w:val="0"/>
      <w:marRight w:val="0"/>
      <w:marTop w:val="0"/>
      <w:marBottom w:val="0"/>
      <w:divBdr>
        <w:top w:val="none" w:sz="0" w:space="0" w:color="auto"/>
        <w:left w:val="none" w:sz="0" w:space="0" w:color="auto"/>
        <w:bottom w:val="none" w:sz="0" w:space="0" w:color="auto"/>
        <w:right w:val="none" w:sz="0" w:space="0" w:color="auto"/>
      </w:divBdr>
    </w:div>
    <w:div w:id="1407534870">
      <w:bodyDiv w:val="1"/>
      <w:marLeft w:val="0"/>
      <w:marRight w:val="0"/>
      <w:marTop w:val="0"/>
      <w:marBottom w:val="0"/>
      <w:divBdr>
        <w:top w:val="none" w:sz="0" w:space="0" w:color="auto"/>
        <w:left w:val="none" w:sz="0" w:space="0" w:color="auto"/>
        <w:bottom w:val="none" w:sz="0" w:space="0" w:color="auto"/>
        <w:right w:val="none" w:sz="0" w:space="0" w:color="auto"/>
      </w:divBdr>
    </w:div>
    <w:div w:id="1553231772">
      <w:bodyDiv w:val="1"/>
      <w:marLeft w:val="0"/>
      <w:marRight w:val="0"/>
      <w:marTop w:val="0"/>
      <w:marBottom w:val="0"/>
      <w:divBdr>
        <w:top w:val="none" w:sz="0" w:space="0" w:color="auto"/>
        <w:left w:val="none" w:sz="0" w:space="0" w:color="auto"/>
        <w:bottom w:val="none" w:sz="0" w:space="0" w:color="auto"/>
        <w:right w:val="none" w:sz="0" w:space="0" w:color="auto"/>
      </w:divBdr>
    </w:div>
    <w:div w:id="1593585838">
      <w:bodyDiv w:val="1"/>
      <w:marLeft w:val="0"/>
      <w:marRight w:val="0"/>
      <w:marTop w:val="0"/>
      <w:marBottom w:val="0"/>
      <w:divBdr>
        <w:top w:val="none" w:sz="0" w:space="0" w:color="auto"/>
        <w:left w:val="none" w:sz="0" w:space="0" w:color="auto"/>
        <w:bottom w:val="none" w:sz="0" w:space="0" w:color="auto"/>
        <w:right w:val="none" w:sz="0" w:space="0" w:color="auto"/>
      </w:divBdr>
    </w:div>
    <w:div w:id="1901281128">
      <w:bodyDiv w:val="1"/>
      <w:marLeft w:val="0"/>
      <w:marRight w:val="0"/>
      <w:marTop w:val="0"/>
      <w:marBottom w:val="0"/>
      <w:divBdr>
        <w:top w:val="none" w:sz="0" w:space="0" w:color="auto"/>
        <w:left w:val="none" w:sz="0" w:space="0" w:color="auto"/>
        <w:bottom w:val="none" w:sz="0" w:space="0" w:color="auto"/>
        <w:right w:val="none" w:sz="0" w:space="0" w:color="auto"/>
      </w:divBdr>
    </w:div>
    <w:div w:id="1958828762">
      <w:bodyDiv w:val="1"/>
      <w:marLeft w:val="0"/>
      <w:marRight w:val="0"/>
      <w:marTop w:val="0"/>
      <w:marBottom w:val="0"/>
      <w:divBdr>
        <w:top w:val="none" w:sz="0" w:space="0" w:color="auto"/>
        <w:left w:val="none" w:sz="0" w:space="0" w:color="auto"/>
        <w:bottom w:val="none" w:sz="0" w:space="0" w:color="auto"/>
        <w:right w:val="none" w:sz="0" w:space="0" w:color="auto"/>
      </w:divBdr>
    </w:div>
    <w:div w:id="2072187076">
      <w:bodyDiv w:val="1"/>
      <w:marLeft w:val="0"/>
      <w:marRight w:val="0"/>
      <w:marTop w:val="0"/>
      <w:marBottom w:val="0"/>
      <w:divBdr>
        <w:top w:val="none" w:sz="0" w:space="0" w:color="auto"/>
        <w:left w:val="none" w:sz="0" w:space="0" w:color="auto"/>
        <w:bottom w:val="none" w:sz="0" w:space="0" w:color="auto"/>
        <w:right w:val="none" w:sz="0" w:space="0" w:color="auto"/>
      </w:divBdr>
    </w:div>
    <w:div w:id="210746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4DC97-0E13-4E79-8F43-433F87046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EC2C9CFB.dotm</Template>
  <TotalTime>6</TotalTime>
  <Pages>2</Pages>
  <Words>471</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madoniasal</dc:creator>
  <cp:lastModifiedBy>Caton, Colleen L.</cp:lastModifiedBy>
  <cp:revision>3</cp:revision>
  <cp:lastPrinted>2020-02-11T15:10:00Z</cp:lastPrinted>
  <dcterms:created xsi:type="dcterms:W3CDTF">2020-02-11T20:15:00Z</dcterms:created>
  <dcterms:modified xsi:type="dcterms:W3CDTF">2020-02-11T20:20:00Z</dcterms:modified>
</cp:coreProperties>
</file>